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仿宋" w:hAnsi="仿宋" w:eastAsia="仿宋" w:cs="方正仿宋简体"/>
          <w:bCs/>
          <w:sz w:val="32"/>
          <w:szCs w:val="32"/>
        </w:rPr>
      </w:pPr>
      <w:r>
        <w:rPr>
          <w:rFonts w:hint="eastAsia" w:ascii="仿宋" w:hAnsi="仿宋" w:eastAsia="仿宋" w:cs="方正仿宋简体"/>
          <w:bCs/>
          <w:sz w:val="32"/>
          <w:szCs w:val="32"/>
        </w:rPr>
        <w:t>附件1</w:t>
      </w:r>
    </w:p>
    <w:p>
      <w:pPr>
        <w:spacing w:line="600" w:lineRule="exact"/>
        <w:jc w:val="center"/>
        <w:rPr>
          <w:rFonts w:ascii="仿宋" w:hAnsi="仿宋" w:eastAsia="仿宋"/>
          <w:sz w:val="32"/>
          <w:szCs w:val="32"/>
        </w:rPr>
      </w:pPr>
    </w:p>
    <w:p>
      <w:pPr>
        <w:spacing w:line="600" w:lineRule="exact"/>
        <w:jc w:val="center"/>
        <w:rPr>
          <w:rFonts w:ascii="方正小标宋简体" w:hAnsi="仿宋" w:eastAsia="方正小标宋简体"/>
          <w:sz w:val="32"/>
          <w:szCs w:val="32"/>
        </w:rPr>
      </w:pPr>
      <w:r>
        <w:rPr>
          <w:rFonts w:hint="eastAsia" w:ascii="方正小标宋简体" w:hAnsi="仿宋" w:eastAsia="方正小标宋简体"/>
          <w:sz w:val="32"/>
          <w:szCs w:val="32"/>
        </w:rPr>
        <w:t>广西国际商务职业技术学院</w:t>
      </w:r>
    </w:p>
    <w:p>
      <w:pPr>
        <w:spacing w:line="600" w:lineRule="exact"/>
        <w:jc w:val="center"/>
        <w:rPr>
          <w:rFonts w:ascii="方正小标宋简体" w:hAnsi="仿宋" w:eastAsia="方正小标宋简体"/>
          <w:sz w:val="32"/>
          <w:szCs w:val="32"/>
        </w:rPr>
      </w:pPr>
      <w:r>
        <w:rPr>
          <w:rFonts w:hint="eastAsia" w:ascii="方正小标宋简体" w:hAnsi="仿宋" w:eastAsia="方正小标宋简体"/>
          <w:sz w:val="32"/>
          <w:szCs w:val="32"/>
        </w:rPr>
        <w:t>2022年高等职业院校单独考试招生简章</w:t>
      </w:r>
    </w:p>
    <w:p>
      <w:pPr>
        <w:spacing w:line="570" w:lineRule="exact"/>
        <w:jc w:val="center"/>
        <w:rPr>
          <w:rFonts w:ascii="仿宋" w:hAnsi="仿宋" w:eastAsia="仿宋"/>
          <w:b/>
          <w:sz w:val="32"/>
          <w:szCs w:val="32"/>
        </w:rPr>
      </w:pPr>
    </w:p>
    <w:p>
      <w:pPr>
        <w:spacing w:line="570" w:lineRule="exact"/>
        <w:ind w:firstLine="640" w:firstLineChars="200"/>
        <w:rPr>
          <w:rFonts w:ascii="仿宋" w:hAnsi="仿宋" w:eastAsia="仿宋"/>
          <w:sz w:val="32"/>
          <w:szCs w:val="32"/>
        </w:rPr>
      </w:pPr>
      <w:r>
        <w:rPr>
          <w:rFonts w:hint="eastAsia" w:ascii="仿宋" w:hAnsi="仿宋" w:eastAsia="仿宋"/>
          <w:sz w:val="32"/>
          <w:szCs w:val="32"/>
        </w:rPr>
        <w:t>为切实做好我校2022年单独考试招生工作，根据《关于做好我区2022年高等职业院校单独考试招生和高等职业院校对口中等职业学校毕业生自主招生工作的通知》（桂招考委办〔2022〕2号）文件精神，结合工作实际，制定我校2022年高等职业院校单独考试招生（以下简称高职单招）简章。现将简章具体内容公布如下：</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一、联合测试</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我校会同区内34所高职高专院校，共同组建2022年广西公办高职高专院校招生联盟，</w:t>
      </w:r>
      <w:r>
        <w:rPr>
          <w:rFonts w:ascii="仿宋" w:hAnsi="仿宋" w:eastAsia="仿宋"/>
          <w:sz w:val="32"/>
          <w:szCs w:val="32"/>
        </w:rPr>
        <w:t>按照“整体策划、统一申报、联合测试、成绩互认”的原则</w:t>
      </w:r>
      <w:r>
        <w:rPr>
          <w:rFonts w:hint="eastAsia" w:ascii="仿宋" w:hAnsi="仿宋" w:eastAsia="仿宋"/>
          <w:sz w:val="32"/>
          <w:szCs w:val="32"/>
        </w:rPr>
        <w:t>，开展高职单招联合测试工作，取得联合测试成绩的考生才具备被我校录取的资格。</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二、考生申报</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（一）申报条件</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已报名参加广西2022年普通高考，且具有高级中等教育学校毕业或具有同等学力的考生，符合《广西壮族自治区招生考试委员会办公室关于做好我区2022年普通高校招生考试报名工作的通知》（桂招考委办〔2021〕73号）中高职单招报名条件的考生。</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（二）申报时间</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2022年3月7日9:00-4月8日18:00止。</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（三）申报流程</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网上申报→网上缴费→网上查阅电子准考证。</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（四）申报方法</w:t>
      </w:r>
    </w:p>
    <w:p>
      <w:pPr>
        <w:spacing w:line="560" w:lineRule="exact"/>
        <w:ind w:firstLine="924" w:firstLineChars="300"/>
        <w:rPr>
          <w:rFonts w:ascii="仿宋" w:hAnsi="仿宋" w:eastAsia="仿宋"/>
          <w:sz w:val="32"/>
          <w:szCs w:val="32"/>
        </w:rPr>
      </w:pPr>
      <w:r>
        <w:rPr>
          <w:rFonts w:hint="eastAsia" w:ascii="仿宋" w:hAnsi="仿宋" w:eastAsia="仿宋"/>
          <w:spacing w:val="-6"/>
          <w:sz w:val="32"/>
          <w:szCs w:val="32"/>
        </w:rPr>
        <w:t>方法一：登录“广西招生考试院”网站（https://www.gxeea.cn/）</w:t>
      </w:r>
      <w:r>
        <w:rPr>
          <w:rFonts w:hint="eastAsia" w:ascii="仿宋" w:hAnsi="仿宋" w:eastAsia="仿宋"/>
          <w:sz w:val="32"/>
          <w:szCs w:val="32"/>
        </w:rPr>
        <w:t>，通过首页系统导航的“考试报名”栏目或普通高考的“高职单招”和“高职对口”栏目中的“广西2022年高职单招申报快速通道”链接，选择“广西公办高职高专院校招生联盟”栏目进入联合测试网站（https://www.gxzslm.cn）填写申报信息。</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方法二：</w:t>
      </w:r>
      <w:r>
        <w:rPr>
          <w:rFonts w:hint="eastAsia" w:ascii="仿宋" w:hAnsi="仿宋" w:eastAsia="仿宋"/>
          <w:spacing w:val="-4"/>
          <w:sz w:val="32"/>
          <w:szCs w:val="32"/>
        </w:rPr>
        <w:t>智能手机登录http://m.gxzslm.cn联合测试网站点击“广西公办高职高专院校招生联盟申报系统”栏目填写申报信息。</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方法三: 登录广西国际商务职业技术学院，从学校网站（http://www.gxibvc.net）进入联合测试网站（</w:t>
      </w:r>
      <w:r>
        <w:rPr>
          <w:rFonts w:hint="eastAsia" w:ascii="仿宋" w:hAnsi="仿宋" w:eastAsia="仿宋"/>
          <w:sz w:val="32"/>
          <w:szCs w:val="32"/>
        </w:rPr>
        <w:fldChar w:fldCharType="begin"/>
      </w:r>
      <w:r>
        <w:rPr>
          <w:rFonts w:ascii="仿宋" w:hAnsi="仿宋" w:eastAsia="仿宋"/>
          <w:sz w:val="32"/>
          <w:szCs w:val="32"/>
        </w:rPr>
        <w:instrText xml:space="preserve"> HYPERLINK "http://www.gxzslm.cn" </w:instrText>
      </w:r>
      <w:r>
        <w:rPr>
          <w:rFonts w:hint="eastAsia" w:ascii="仿宋" w:hAnsi="仿宋" w:eastAsia="仿宋"/>
          <w:sz w:val="32"/>
          <w:szCs w:val="32"/>
        </w:rPr>
        <w:fldChar w:fldCharType="separate"/>
      </w:r>
      <w:r>
        <w:rPr>
          <w:rFonts w:hint="eastAsia" w:ascii="仿宋" w:hAnsi="仿宋" w:eastAsia="仿宋"/>
          <w:sz w:val="32"/>
          <w:szCs w:val="32"/>
        </w:rPr>
        <w:t>http://www.gxzslm.cn</w:t>
      </w:r>
      <w:r>
        <w:rPr>
          <w:rFonts w:hint="eastAsia" w:ascii="仿宋" w:hAnsi="仿宋" w:eastAsia="仿宋"/>
          <w:sz w:val="32"/>
          <w:szCs w:val="32"/>
        </w:rPr>
        <w:fldChar w:fldCharType="end"/>
      </w:r>
      <w:r>
        <w:rPr>
          <w:rFonts w:hint="eastAsia" w:ascii="仿宋" w:hAnsi="仿宋" w:eastAsia="仿宋"/>
          <w:sz w:val="32"/>
          <w:szCs w:val="32"/>
        </w:rPr>
        <w:t>）点击“广西公办高职高专招生联盟申报系统”栏目填写申报信息。</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（五）缴费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根据自治区发展与改革委员会批准，高职单招考生报考费70元/人，报考费用于联合测试申报、测试等组织工作，考生通过网上支付的方式缴纳。联合测试报考费用统一由广西工商职业技术学院代收。缴费截止时间：2022年4月8日18:00。</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考生按规定填报申报信息并足额缴费后，才能完成申报手续；对申报成功的考生，不再办理撤销申报和退款手续。</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（六）查阅准考证</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缴费成功后，考生于2022年4月12日上午9:00-4月15日18:00，进入高职单招职业适应性测试APP（APP使用手册将会在联合测试申报系统内向考生公布）查阅电子准考证，确定考试场次。</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如遇技术问题，可联系申报系统页面所提供的联系方式。</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三、测试安排</w:t>
      </w:r>
    </w:p>
    <w:p>
      <w:pPr>
        <w:spacing w:line="560" w:lineRule="exact"/>
        <w:ind w:firstLine="640" w:firstLineChars="200"/>
        <w:rPr>
          <w:rFonts w:ascii="仿宋" w:hAnsi="仿宋" w:eastAsia="仿宋"/>
          <w:bCs/>
          <w:sz w:val="32"/>
          <w:szCs w:val="32"/>
        </w:rPr>
      </w:pPr>
      <w:r>
        <w:rPr>
          <w:rFonts w:hint="eastAsia" w:ascii="仿宋" w:hAnsi="仿宋" w:eastAsia="仿宋"/>
          <w:bCs/>
          <w:sz w:val="32"/>
          <w:szCs w:val="32"/>
        </w:rPr>
        <w:t>2022年单招联合测试只进行职业适应性测试，所有报考广西公办高职高专院校招生联盟内成员院校单招的考生必须参加联盟统一组织的职业适应性测试并取得相应测试结果。</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（一）测试时间</w:t>
      </w:r>
    </w:p>
    <w:p>
      <w:pPr>
        <w:spacing w:line="560" w:lineRule="exact"/>
        <w:ind w:firstLine="640" w:firstLineChars="200"/>
        <w:rPr>
          <w:rFonts w:ascii="仿宋" w:hAnsi="仿宋" w:eastAsia="仿宋"/>
          <w:bCs/>
          <w:sz w:val="32"/>
          <w:szCs w:val="32"/>
        </w:rPr>
      </w:pPr>
      <w:r>
        <w:rPr>
          <w:rFonts w:hint="eastAsia" w:ascii="仿宋" w:hAnsi="仿宋" w:eastAsia="仿宋"/>
          <w:bCs/>
          <w:sz w:val="32"/>
          <w:szCs w:val="32"/>
        </w:rPr>
        <w:t>职业适应性测试时间：2022年4月16日，测试时长为40分钟，根据申报人数分批测试，考生参加测试的具体时间在准考证上查阅。</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（二）测试方式</w:t>
      </w:r>
    </w:p>
    <w:p>
      <w:pPr>
        <w:spacing w:line="560" w:lineRule="exact"/>
        <w:ind w:firstLine="640" w:firstLineChars="200"/>
        <w:rPr>
          <w:rFonts w:ascii="仿宋" w:hAnsi="仿宋" w:eastAsia="仿宋"/>
          <w:bCs/>
          <w:sz w:val="32"/>
          <w:szCs w:val="32"/>
        </w:rPr>
      </w:pPr>
      <w:r>
        <w:rPr>
          <w:rFonts w:hint="eastAsia" w:ascii="仿宋" w:hAnsi="仿宋" w:eastAsia="仿宋"/>
          <w:bCs/>
          <w:sz w:val="32"/>
          <w:szCs w:val="32"/>
        </w:rPr>
        <w:t>职业适应性测试采用无纸化网络测试方式进行，全部为标准化试题，考生通过在手机上安装app答题。</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（三）测试内容</w:t>
      </w:r>
    </w:p>
    <w:p>
      <w:pPr>
        <w:spacing w:line="560" w:lineRule="exact"/>
        <w:ind w:firstLine="640" w:firstLineChars="200"/>
        <w:rPr>
          <w:rFonts w:ascii="仿宋" w:hAnsi="仿宋" w:eastAsia="仿宋"/>
          <w:bCs/>
          <w:sz w:val="32"/>
          <w:szCs w:val="32"/>
        </w:rPr>
      </w:pPr>
      <w:r>
        <w:rPr>
          <w:rFonts w:hint="eastAsia" w:ascii="仿宋" w:hAnsi="仿宋" w:eastAsia="仿宋"/>
          <w:bCs/>
          <w:sz w:val="32"/>
          <w:szCs w:val="32"/>
        </w:rPr>
        <w:t>职业适应性测试包含学习能力、职业潜能等内容。</w:t>
      </w:r>
    </w:p>
    <w:p>
      <w:pPr>
        <w:spacing w:line="570" w:lineRule="exact"/>
        <w:ind w:firstLine="640" w:firstLineChars="200"/>
        <w:rPr>
          <w:rFonts w:ascii="黑体" w:hAnsi="黑体" w:eastAsia="黑体"/>
          <w:bCs/>
          <w:sz w:val="32"/>
          <w:szCs w:val="32"/>
        </w:rPr>
      </w:pPr>
      <w:r>
        <w:rPr>
          <w:rFonts w:hint="eastAsia" w:ascii="黑体" w:hAnsi="黑体" w:eastAsia="黑体"/>
          <w:bCs/>
          <w:sz w:val="32"/>
          <w:szCs w:val="32"/>
        </w:rPr>
        <w:t>四、测试成绩</w:t>
      </w:r>
    </w:p>
    <w:p>
      <w:pPr>
        <w:spacing w:line="570" w:lineRule="exact"/>
        <w:ind w:firstLine="640" w:firstLineChars="200"/>
        <w:rPr>
          <w:rFonts w:ascii="仿宋" w:hAnsi="仿宋" w:eastAsia="仿宋"/>
          <w:kern w:val="0"/>
          <w:sz w:val="32"/>
          <w:szCs w:val="32"/>
        </w:rPr>
      </w:pPr>
      <w:r>
        <w:rPr>
          <w:rFonts w:hint="eastAsia" w:ascii="仿宋" w:hAnsi="仿宋" w:eastAsia="仿宋"/>
          <w:kern w:val="0"/>
          <w:sz w:val="32"/>
          <w:szCs w:val="32"/>
        </w:rPr>
        <w:t>高职单招联合测试总成绩由文化素质成绩、职业适应性测试成绩和附加分组成。我校在考生职业适应性测试成绩合格的基础上，以联合测试总成绩高低为依据进行录取。</w:t>
      </w:r>
    </w:p>
    <w:p>
      <w:pPr>
        <w:spacing w:line="570" w:lineRule="exact"/>
        <w:ind w:firstLine="640" w:firstLineChars="200"/>
        <w:rPr>
          <w:rFonts w:ascii="楷体" w:hAnsi="楷体" w:eastAsia="楷体"/>
          <w:kern w:val="0"/>
          <w:sz w:val="32"/>
          <w:szCs w:val="32"/>
        </w:rPr>
      </w:pPr>
      <w:r>
        <w:rPr>
          <w:rFonts w:hint="eastAsia" w:ascii="楷体" w:hAnsi="楷体" w:eastAsia="楷体"/>
          <w:kern w:val="0"/>
          <w:sz w:val="32"/>
          <w:szCs w:val="32"/>
        </w:rPr>
        <w:t>（一）文化素质成绩</w:t>
      </w:r>
    </w:p>
    <w:p>
      <w:pPr>
        <w:spacing w:line="570" w:lineRule="exact"/>
        <w:ind w:firstLine="640" w:firstLineChars="200"/>
        <w:rPr>
          <w:rFonts w:ascii="仿宋" w:hAnsi="仿宋" w:eastAsia="仿宋"/>
          <w:kern w:val="0"/>
          <w:sz w:val="32"/>
          <w:szCs w:val="32"/>
        </w:rPr>
      </w:pPr>
      <w:r>
        <w:rPr>
          <w:rFonts w:hint="eastAsia" w:ascii="仿宋" w:hAnsi="仿宋" w:eastAsia="仿宋"/>
          <w:kern w:val="0"/>
          <w:sz w:val="32"/>
          <w:szCs w:val="32"/>
        </w:rPr>
        <w:t>文化素质成绩采用考生的高中学业水平考试成绩中的语文、数学、英语三个科目原始分成绩总和，作为我校文化素质成绩。</w:t>
      </w:r>
    </w:p>
    <w:p>
      <w:pPr>
        <w:spacing w:line="570" w:lineRule="exact"/>
        <w:ind w:firstLine="640" w:firstLineChars="200"/>
        <w:rPr>
          <w:rFonts w:ascii="楷体" w:hAnsi="楷体" w:eastAsia="楷体"/>
          <w:kern w:val="0"/>
          <w:sz w:val="32"/>
          <w:szCs w:val="32"/>
        </w:rPr>
      </w:pPr>
      <w:r>
        <w:rPr>
          <w:rFonts w:hint="eastAsia" w:ascii="楷体" w:hAnsi="楷体" w:eastAsia="楷体"/>
          <w:kern w:val="0"/>
          <w:sz w:val="32"/>
          <w:szCs w:val="32"/>
        </w:rPr>
        <w:t>（二）职业适应性测试成绩</w:t>
      </w:r>
    </w:p>
    <w:p>
      <w:pPr>
        <w:spacing w:line="570" w:lineRule="exact"/>
        <w:ind w:firstLine="640" w:firstLineChars="200"/>
        <w:rPr>
          <w:rFonts w:ascii="仿宋" w:hAnsi="仿宋" w:eastAsia="仿宋"/>
          <w:color w:val="FF0000"/>
          <w:kern w:val="0"/>
          <w:sz w:val="32"/>
          <w:szCs w:val="32"/>
        </w:rPr>
      </w:pPr>
      <w:r>
        <w:rPr>
          <w:rFonts w:hint="eastAsia" w:ascii="仿宋" w:hAnsi="仿宋" w:eastAsia="仿宋"/>
          <w:kern w:val="0"/>
          <w:sz w:val="32"/>
          <w:szCs w:val="32"/>
        </w:rPr>
        <w:t>职业适应性测试采用无纸化网络测试方式，测试结果以“合格”和“不合格”记，职业适应性测试“合格”成绩记为300分，纳入考生测试总成绩，“不合格”成绩记为0分。考生在规定时间内测试分数达300分即为“合格”，不足300分的为“不合格”。凡未参加职业适应性测试或职业适应性测试结果为“不合格”的考生均不予备案成绩和录取。职业适应性测试结束后，联盟院校将根据成绩发布时间，在联合测试网站（https://www.gxzslm.cn）公布考生职业适应性测试是否合格。</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（三）附加分</w:t>
      </w:r>
    </w:p>
    <w:p>
      <w:pPr>
        <w:spacing w:line="570" w:lineRule="exact"/>
        <w:ind w:firstLine="643" w:firstLineChars="200"/>
        <w:jc w:val="left"/>
        <w:rPr>
          <w:rFonts w:ascii="仿宋" w:hAnsi="仿宋" w:eastAsia="仿宋"/>
          <w:b/>
          <w:kern w:val="0"/>
          <w:sz w:val="32"/>
          <w:szCs w:val="32"/>
        </w:rPr>
      </w:pPr>
      <w:r>
        <w:rPr>
          <w:rFonts w:hint="eastAsia" w:ascii="仿宋" w:hAnsi="仿宋" w:eastAsia="仿宋"/>
          <w:b/>
          <w:kern w:val="0"/>
          <w:sz w:val="32"/>
          <w:szCs w:val="32"/>
        </w:rPr>
        <w:t>1. 加分项目及加分标准</w:t>
      </w:r>
    </w:p>
    <w:tbl>
      <w:tblPr>
        <w:tblStyle w:val="8"/>
        <w:tblW w:w="9087" w:type="dxa"/>
        <w:tblInd w:w="93" w:type="dxa"/>
        <w:tblLayout w:type="autofit"/>
        <w:tblCellMar>
          <w:top w:w="0" w:type="dxa"/>
          <w:left w:w="108" w:type="dxa"/>
          <w:bottom w:w="0" w:type="dxa"/>
          <w:right w:w="108" w:type="dxa"/>
        </w:tblCellMar>
      </w:tblPr>
      <w:tblGrid>
        <w:gridCol w:w="866"/>
        <w:gridCol w:w="2410"/>
        <w:gridCol w:w="1417"/>
        <w:gridCol w:w="4394"/>
      </w:tblGrid>
      <w:tr>
        <w:tblPrEx>
          <w:tblCellMar>
            <w:top w:w="0" w:type="dxa"/>
            <w:left w:w="108" w:type="dxa"/>
            <w:bottom w:w="0" w:type="dxa"/>
            <w:right w:w="108" w:type="dxa"/>
          </w:tblCellMar>
        </w:tblPrEx>
        <w:trPr>
          <w:trHeight w:val="270" w:hRule="atLeast"/>
          <w:tblHeader/>
        </w:trPr>
        <w:tc>
          <w:tcPr>
            <w:tcW w:w="86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序号</w:t>
            </w:r>
          </w:p>
        </w:tc>
        <w:tc>
          <w:tcPr>
            <w:tcW w:w="2410" w:type="dxa"/>
            <w:tcBorders>
              <w:top w:val="single" w:color="auto" w:sz="4" w:space="0"/>
              <w:left w:val="nil"/>
              <w:bottom w:val="single" w:color="auto" w:sz="4" w:space="0"/>
              <w:right w:val="single" w:color="auto" w:sz="4" w:space="0"/>
            </w:tcBorders>
            <w:shd w:val="clear" w:color="auto" w:fill="auto"/>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加分项目</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加分标准</w:t>
            </w:r>
          </w:p>
        </w:tc>
        <w:tc>
          <w:tcPr>
            <w:tcW w:w="4394" w:type="dxa"/>
            <w:tcBorders>
              <w:top w:val="single" w:color="auto" w:sz="4" w:space="0"/>
              <w:left w:val="nil"/>
              <w:bottom w:val="single" w:color="auto" w:sz="4" w:space="0"/>
              <w:right w:val="single" w:color="auto" w:sz="4" w:space="0"/>
            </w:tcBorders>
            <w:shd w:val="clear" w:color="auto" w:fill="auto"/>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申请方式及要求</w:t>
            </w:r>
          </w:p>
        </w:tc>
      </w:tr>
      <w:tr>
        <w:tblPrEx>
          <w:tblCellMar>
            <w:top w:w="0" w:type="dxa"/>
            <w:left w:w="108" w:type="dxa"/>
            <w:bottom w:w="0" w:type="dxa"/>
            <w:right w:w="108" w:type="dxa"/>
          </w:tblCellMar>
        </w:tblPrEx>
        <w:trPr>
          <w:trHeight w:val="708"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1</w:t>
            </w:r>
          </w:p>
        </w:tc>
        <w:tc>
          <w:tcPr>
            <w:tcW w:w="2410" w:type="dxa"/>
            <w:tcBorders>
              <w:top w:val="nil"/>
              <w:left w:val="nil"/>
              <w:bottom w:val="single" w:color="auto" w:sz="4" w:space="0"/>
              <w:right w:val="single" w:color="auto" w:sz="4" w:space="0"/>
            </w:tcBorders>
            <w:shd w:val="clear" w:color="auto" w:fill="auto"/>
            <w:vAlign w:val="center"/>
          </w:tcPr>
          <w:p>
            <w:pPr>
              <w:widowControl/>
              <w:spacing w:line="560" w:lineRule="exact"/>
              <w:jc w:val="left"/>
              <w:rPr>
                <w:rFonts w:ascii="仿宋" w:hAnsi="仿宋" w:eastAsia="仿宋" w:cs="宋体"/>
                <w:kern w:val="0"/>
                <w:sz w:val="28"/>
                <w:szCs w:val="28"/>
              </w:rPr>
            </w:pPr>
            <w:r>
              <w:rPr>
                <w:rFonts w:hint="eastAsia" w:ascii="仿宋" w:hAnsi="仿宋" w:eastAsia="仿宋" w:cs="宋体"/>
                <w:kern w:val="0"/>
                <w:sz w:val="28"/>
                <w:szCs w:val="28"/>
              </w:rPr>
              <w:t>少数民族考生</w:t>
            </w:r>
          </w:p>
        </w:tc>
        <w:tc>
          <w:tcPr>
            <w:tcW w:w="1417" w:type="dxa"/>
            <w:tcBorders>
              <w:top w:val="nil"/>
              <w:left w:val="nil"/>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5分</w:t>
            </w:r>
          </w:p>
        </w:tc>
        <w:tc>
          <w:tcPr>
            <w:tcW w:w="4394" w:type="dxa"/>
            <w:vMerge w:val="restart"/>
            <w:tcBorders>
              <w:left w:val="single" w:color="auto" w:sz="4" w:space="0"/>
              <w:right w:val="single" w:color="auto" w:sz="4" w:space="0"/>
            </w:tcBorders>
            <w:shd w:val="clear" w:color="auto" w:fill="auto"/>
            <w:vAlign w:val="center"/>
          </w:tcPr>
          <w:p>
            <w:pPr>
              <w:widowControl/>
              <w:spacing w:line="460" w:lineRule="exact"/>
              <w:jc w:val="left"/>
              <w:rPr>
                <w:rFonts w:ascii="仿宋" w:hAnsi="仿宋" w:eastAsia="仿宋" w:cs="宋体"/>
                <w:kern w:val="0"/>
                <w:sz w:val="28"/>
                <w:szCs w:val="28"/>
              </w:rPr>
            </w:pPr>
            <w:r>
              <w:rPr>
                <w:rFonts w:hint="eastAsia" w:ascii="仿宋" w:hAnsi="仿宋" w:eastAsia="仿宋" w:cs="宋体"/>
                <w:kern w:val="0"/>
                <w:sz w:val="28"/>
                <w:szCs w:val="28"/>
              </w:rPr>
              <w:t>由联盟根据2022年广西高考报名系统中信息认定；在测试申报期内，考生登录联合测试网站申请附加分。</w:t>
            </w:r>
          </w:p>
        </w:tc>
      </w:tr>
      <w:tr>
        <w:tblPrEx>
          <w:tblCellMar>
            <w:top w:w="0" w:type="dxa"/>
            <w:left w:w="108" w:type="dxa"/>
            <w:bottom w:w="0" w:type="dxa"/>
            <w:right w:w="108" w:type="dxa"/>
          </w:tblCellMar>
        </w:tblPrEx>
        <w:trPr>
          <w:trHeight w:val="704" w:hRule="atLeast"/>
        </w:trPr>
        <w:tc>
          <w:tcPr>
            <w:tcW w:w="866" w:type="dxa"/>
            <w:tcBorders>
              <w:top w:val="nil"/>
              <w:left w:val="single" w:color="auto" w:sz="4" w:space="0"/>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2</w:t>
            </w:r>
          </w:p>
        </w:tc>
        <w:tc>
          <w:tcPr>
            <w:tcW w:w="2410" w:type="dxa"/>
            <w:tcBorders>
              <w:top w:val="nil"/>
              <w:left w:val="nil"/>
              <w:bottom w:val="single" w:color="auto" w:sz="4" w:space="0"/>
              <w:right w:val="single" w:color="auto" w:sz="4" w:space="0"/>
            </w:tcBorders>
            <w:shd w:val="clear" w:color="auto" w:fill="auto"/>
            <w:vAlign w:val="center"/>
          </w:tcPr>
          <w:p>
            <w:pPr>
              <w:widowControl/>
              <w:spacing w:line="560" w:lineRule="exact"/>
              <w:jc w:val="left"/>
              <w:rPr>
                <w:rFonts w:ascii="仿宋" w:hAnsi="仿宋" w:eastAsia="仿宋" w:cs="宋体"/>
                <w:kern w:val="0"/>
                <w:sz w:val="28"/>
                <w:szCs w:val="28"/>
              </w:rPr>
            </w:pPr>
            <w:r>
              <w:rPr>
                <w:rFonts w:hint="eastAsia" w:ascii="仿宋" w:hAnsi="仿宋" w:eastAsia="仿宋" w:cs="宋体"/>
                <w:kern w:val="0"/>
                <w:sz w:val="28"/>
                <w:szCs w:val="28"/>
              </w:rPr>
              <w:t>归侨、华侨或其子女考生</w:t>
            </w:r>
          </w:p>
        </w:tc>
        <w:tc>
          <w:tcPr>
            <w:tcW w:w="1417" w:type="dxa"/>
            <w:tcBorders>
              <w:top w:val="nil"/>
              <w:left w:val="nil"/>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5分</w:t>
            </w:r>
          </w:p>
        </w:tc>
        <w:tc>
          <w:tcPr>
            <w:tcW w:w="4394" w:type="dxa"/>
            <w:vMerge w:val="continue"/>
            <w:tcBorders>
              <w:left w:val="single" w:color="auto" w:sz="4" w:space="0"/>
              <w:right w:val="single" w:color="auto" w:sz="4" w:space="0"/>
            </w:tcBorders>
            <w:shd w:val="clear" w:color="auto" w:fill="auto"/>
            <w:vAlign w:val="center"/>
          </w:tcPr>
          <w:p>
            <w:pPr>
              <w:widowControl/>
              <w:spacing w:line="460" w:lineRule="exact"/>
              <w:jc w:val="left"/>
              <w:rPr>
                <w:rFonts w:ascii="仿宋" w:hAnsi="仿宋" w:eastAsia="仿宋" w:cs="宋体"/>
                <w:kern w:val="0"/>
                <w:sz w:val="28"/>
                <w:szCs w:val="28"/>
              </w:rPr>
            </w:pPr>
          </w:p>
        </w:tc>
      </w:tr>
      <w:tr>
        <w:tblPrEx>
          <w:tblCellMar>
            <w:top w:w="0" w:type="dxa"/>
            <w:left w:w="108" w:type="dxa"/>
            <w:bottom w:w="0" w:type="dxa"/>
            <w:right w:w="108" w:type="dxa"/>
          </w:tblCellMar>
        </w:tblPrEx>
        <w:trPr>
          <w:trHeight w:val="686" w:hRule="atLeast"/>
        </w:trPr>
        <w:tc>
          <w:tcPr>
            <w:tcW w:w="866" w:type="dxa"/>
            <w:tcBorders>
              <w:top w:val="nil"/>
              <w:left w:val="single" w:color="auto" w:sz="4" w:space="0"/>
              <w:bottom w:val="nil"/>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3</w:t>
            </w:r>
          </w:p>
        </w:tc>
        <w:tc>
          <w:tcPr>
            <w:tcW w:w="2410" w:type="dxa"/>
            <w:tcBorders>
              <w:top w:val="nil"/>
              <w:left w:val="nil"/>
              <w:bottom w:val="nil"/>
              <w:right w:val="single" w:color="auto" w:sz="4" w:space="0"/>
            </w:tcBorders>
            <w:shd w:val="clear" w:color="auto" w:fill="auto"/>
            <w:vAlign w:val="center"/>
          </w:tcPr>
          <w:p>
            <w:pPr>
              <w:widowControl/>
              <w:spacing w:line="560" w:lineRule="exact"/>
              <w:jc w:val="left"/>
              <w:rPr>
                <w:rFonts w:ascii="仿宋" w:hAnsi="仿宋" w:eastAsia="仿宋" w:cs="宋体"/>
                <w:kern w:val="0"/>
                <w:sz w:val="28"/>
                <w:szCs w:val="28"/>
              </w:rPr>
            </w:pPr>
            <w:r>
              <w:rPr>
                <w:rFonts w:hint="eastAsia" w:ascii="仿宋" w:hAnsi="仿宋" w:eastAsia="仿宋" w:cs="宋体"/>
                <w:kern w:val="0"/>
                <w:sz w:val="28"/>
                <w:szCs w:val="28"/>
              </w:rPr>
              <w:t>烈士子女考生</w:t>
            </w:r>
          </w:p>
        </w:tc>
        <w:tc>
          <w:tcPr>
            <w:tcW w:w="1417" w:type="dxa"/>
            <w:tcBorders>
              <w:top w:val="nil"/>
              <w:left w:val="nil"/>
              <w:bottom w:val="nil"/>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20分</w:t>
            </w:r>
          </w:p>
        </w:tc>
        <w:tc>
          <w:tcPr>
            <w:tcW w:w="4394" w:type="dxa"/>
            <w:vMerge w:val="continue"/>
            <w:tcBorders>
              <w:left w:val="single" w:color="auto" w:sz="4" w:space="0"/>
              <w:right w:val="single" w:color="auto" w:sz="4" w:space="0"/>
            </w:tcBorders>
            <w:shd w:val="clear" w:color="auto" w:fill="auto"/>
            <w:vAlign w:val="center"/>
          </w:tcPr>
          <w:p>
            <w:pPr>
              <w:widowControl/>
              <w:spacing w:line="460" w:lineRule="exact"/>
              <w:jc w:val="left"/>
              <w:rPr>
                <w:rFonts w:ascii="仿宋" w:hAnsi="仿宋" w:eastAsia="仿宋" w:cs="宋体"/>
                <w:kern w:val="0"/>
                <w:sz w:val="28"/>
                <w:szCs w:val="28"/>
              </w:rPr>
            </w:pPr>
          </w:p>
        </w:tc>
      </w:tr>
      <w:tr>
        <w:tblPrEx>
          <w:tblCellMar>
            <w:top w:w="0" w:type="dxa"/>
            <w:left w:w="108" w:type="dxa"/>
            <w:bottom w:w="0" w:type="dxa"/>
            <w:right w:w="108" w:type="dxa"/>
          </w:tblCellMar>
        </w:tblPrEx>
        <w:trPr>
          <w:trHeight w:val="706" w:hRule="atLeast"/>
        </w:trPr>
        <w:tc>
          <w:tcPr>
            <w:tcW w:w="86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4</w:t>
            </w:r>
          </w:p>
        </w:tc>
        <w:tc>
          <w:tcPr>
            <w:tcW w:w="2410" w:type="dxa"/>
            <w:tcBorders>
              <w:top w:val="single" w:color="auto" w:sz="4" w:space="0"/>
              <w:left w:val="nil"/>
              <w:bottom w:val="single" w:color="auto" w:sz="4" w:space="0"/>
              <w:right w:val="single" w:color="auto" w:sz="4" w:space="0"/>
            </w:tcBorders>
            <w:shd w:val="clear" w:color="auto" w:fill="auto"/>
            <w:vAlign w:val="center"/>
          </w:tcPr>
          <w:p>
            <w:pPr>
              <w:widowControl/>
              <w:spacing w:line="560" w:lineRule="exact"/>
              <w:jc w:val="left"/>
              <w:rPr>
                <w:rFonts w:ascii="仿宋" w:hAnsi="仿宋" w:eastAsia="仿宋" w:cs="宋体"/>
                <w:kern w:val="0"/>
                <w:sz w:val="28"/>
                <w:szCs w:val="28"/>
              </w:rPr>
            </w:pPr>
            <w:r>
              <w:rPr>
                <w:rFonts w:hint="eastAsia" w:ascii="仿宋" w:hAnsi="仿宋" w:eastAsia="仿宋" w:cs="宋体"/>
                <w:kern w:val="0"/>
                <w:sz w:val="28"/>
                <w:szCs w:val="28"/>
              </w:rPr>
              <w:t>退役士兵考生</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widowControl/>
              <w:spacing w:line="560" w:lineRule="exact"/>
              <w:jc w:val="center"/>
              <w:rPr>
                <w:rFonts w:ascii="仿宋" w:hAnsi="仿宋" w:eastAsia="仿宋" w:cs="宋体"/>
                <w:kern w:val="0"/>
                <w:sz w:val="28"/>
                <w:szCs w:val="28"/>
              </w:rPr>
            </w:pPr>
            <w:r>
              <w:rPr>
                <w:rFonts w:hint="eastAsia" w:ascii="仿宋" w:hAnsi="仿宋" w:eastAsia="仿宋" w:cs="宋体"/>
                <w:kern w:val="0"/>
                <w:sz w:val="28"/>
                <w:szCs w:val="28"/>
              </w:rPr>
              <w:t>5分</w:t>
            </w:r>
          </w:p>
        </w:tc>
        <w:tc>
          <w:tcPr>
            <w:tcW w:w="4394" w:type="dxa"/>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460" w:lineRule="exact"/>
              <w:jc w:val="left"/>
              <w:rPr>
                <w:rFonts w:ascii="仿宋" w:hAnsi="仿宋" w:eastAsia="仿宋" w:cs="宋体"/>
                <w:kern w:val="0"/>
                <w:sz w:val="28"/>
                <w:szCs w:val="28"/>
              </w:rPr>
            </w:pPr>
            <w:r>
              <w:rPr>
                <w:rFonts w:hint="eastAsia" w:ascii="仿宋" w:hAnsi="仿宋" w:eastAsia="仿宋" w:cs="宋体"/>
                <w:kern w:val="0"/>
                <w:sz w:val="28"/>
                <w:szCs w:val="28"/>
              </w:rPr>
              <w:t>1. 在测试申报期内，考生登录联合测试网站申请附加分；</w:t>
            </w:r>
          </w:p>
          <w:p>
            <w:pPr>
              <w:widowControl/>
              <w:spacing w:line="460" w:lineRule="exact"/>
              <w:jc w:val="left"/>
              <w:rPr>
                <w:rFonts w:ascii="仿宋" w:hAnsi="仿宋" w:eastAsia="仿宋" w:cs="宋体"/>
                <w:kern w:val="0"/>
                <w:sz w:val="28"/>
                <w:szCs w:val="28"/>
              </w:rPr>
            </w:pPr>
            <w:r>
              <w:rPr>
                <w:rFonts w:hint="eastAsia" w:ascii="仿宋" w:hAnsi="仿宋" w:eastAsia="仿宋" w:cs="宋体"/>
                <w:kern w:val="0"/>
                <w:sz w:val="28"/>
                <w:szCs w:val="28"/>
              </w:rPr>
              <w:t>2.上传退役士兵证书和诚信承诺书的扫描图片，图片要求为JPG格式，大小为50k—2M，清晰易辨。</w:t>
            </w:r>
          </w:p>
        </w:tc>
      </w:tr>
    </w:tbl>
    <w:p>
      <w:pPr>
        <w:spacing w:line="570" w:lineRule="exact"/>
        <w:ind w:firstLine="645"/>
        <w:rPr>
          <w:rFonts w:ascii="仿宋" w:hAnsi="仿宋" w:eastAsia="仿宋"/>
          <w:sz w:val="32"/>
          <w:szCs w:val="32"/>
        </w:rPr>
      </w:pPr>
      <w:r>
        <w:rPr>
          <w:rFonts w:hint="eastAsia" w:ascii="仿宋" w:hAnsi="仿宋" w:eastAsia="仿宋"/>
          <w:bCs/>
          <w:sz w:val="32"/>
          <w:szCs w:val="32"/>
        </w:rPr>
        <w:t>说明：①表中附加分项目及加分标准仅适用于本次联盟院校的高职单招联合测试；②同一考生符合多项加分条件的，只按其中最高一项加分分值计入总分。</w:t>
      </w:r>
    </w:p>
    <w:p>
      <w:pPr>
        <w:spacing w:line="570" w:lineRule="exact"/>
        <w:ind w:firstLine="643" w:firstLineChars="200"/>
        <w:rPr>
          <w:rFonts w:ascii="仿宋" w:hAnsi="仿宋" w:eastAsia="仿宋"/>
          <w:b/>
          <w:sz w:val="32"/>
          <w:szCs w:val="32"/>
        </w:rPr>
      </w:pPr>
      <w:r>
        <w:rPr>
          <w:rFonts w:hint="eastAsia" w:ascii="仿宋" w:hAnsi="仿宋" w:eastAsia="仿宋"/>
          <w:b/>
          <w:sz w:val="32"/>
          <w:szCs w:val="32"/>
        </w:rPr>
        <w:t>2. 加分公示</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经联盟院校统一评审认定的附加分，将于2022年4月18日-4月28日在联合测试网站上公示。</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（三）成绩查询</w:t>
      </w:r>
    </w:p>
    <w:p>
      <w:pPr>
        <w:spacing w:line="560" w:lineRule="exact"/>
        <w:ind w:firstLine="645"/>
        <w:rPr>
          <w:rFonts w:ascii="仿宋" w:hAnsi="仿宋" w:eastAsia="仿宋"/>
          <w:bCs/>
          <w:sz w:val="32"/>
          <w:szCs w:val="32"/>
        </w:rPr>
      </w:pPr>
      <w:r>
        <w:rPr>
          <w:rFonts w:hint="eastAsia" w:ascii="仿宋" w:hAnsi="仿宋" w:eastAsia="仿宋"/>
          <w:bCs/>
          <w:sz w:val="32"/>
          <w:szCs w:val="32"/>
        </w:rPr>
        <w:t>2022年4月30日后，联盟将联合测试总成绩在联合测试网站进行发布，考生可自行登录网站进行查询。</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五、填报志愿</w:t>
      </w:r>
    </w:p>
    <w:p>
      <w:pPr>
        <w:widowControl/>
        <w:spacing w:line="560" w:lineRule="exact"/>
        <w:ind w:left="63" w:leftChars="30" w:firstLine="640" w:firstLineChars="200"/>
        <w:jc w:val="left"/>
        <w:rPr>
          <w:rFonts w:ascii="仿宋" w:hAnsi="仿宋" w:eastAsia="仿宋"/>
          <w:kern w:val="0"/>
          <w:sz w:val="32"/>
          <w:szCs w:val="32"/>
        </w:rPr>
      </w:pPr>
      <w:r>
        <w:rPr>
          <w:rFonts w:hint="eastAsia" w:ascii="仿宋" w:hAnsi="仿宋" w:eastAsia="仿宋"/>
          <w:kern w:val="0"/>
          <w:sz w:val="32"/>
          <w:szCs w:val="32"/>
        </w:rPr>
        <w:t>所有报考高职单招的考生本人需通过自治区招生考试院志愿填报系统填报志愿，才能获得招生院校的录取机会，没有填报志愿的考生视为放弃参加高职单招招生资格。</w:t>
      </w:r>
    </w:p>
    <w:p>
      <w:pPr>
        <w:widowControl/>
        <w:spacing w:line="560" w:lineRule="exact"/>
        <w:ind w:left="63" w:leftChars="30" w:firstLine="640" w:firstLineChars="200"/>
        <w:jc w:val="left"/>
        <w:rPr>
          <w:rFonts w:ascii="仿宋" w:hAnsi="仿宋" w:eastAsia="仿宋"/>
          <w:sz w:val="32"/>
          <w:szCs w:val="32"/>
        </w:rPr>
      </w:pPr>
      <w:r>
        <w:rPr>
          <w:rFonts w:hint="eastAsia" w:ascii="仿宋" w:hAnsi="仿宋" w:eastAsia="仿宋"/>
          <w:kern w:val="0"/>
          <w:sz w:val="32"/>
          <w:szCs w:val="32"/>
        </w:rPr>
        <w:t>考生于2022年5月6日10:00至9日12:00登录“广西招生考试院”网站志愿填报系统填报相应类别的志愿。志愿填报系统从“广西招生考试院”网站“系统导航-志愿填报-2022年普通高校招生志愿填报系统（高职单招/高职对口志愿填报）”进入。考生首次登录时使用本人高考网上报名时设置的密码，登录成功后须立即修改密码。志愿模式为顺序志愿，每个考生最多可填报4个院校志愿，每个院校最多填报10个专业志愿并可选择是否服从专业调剂。</w:t>
      </w:r>
    </w:p>
    <w:p>
      <w:pPr>
        <w:spacing w:line="560" w:lineRule="exact"/>
        <w:ind w:firstLine="640" w:firstLineChars="200"/>
        <w:rPr>
          <w:rFonts w:ascii="仿宋" w:hAnsi="仿宋" w:eastAsia="仿宋"/>
          <w:kern w:val="0"/>
          <w:sz w:val="32"/>
          <w:szCs w:val="32"/>
        </w:rPr>
      </w:pPr>
      <w:r>
        <w:rPr>
          <w:rFonts w:hint="eastAsia" w:ascii="仿宋" w:hAnsi="仿宋" w:eastAsia="仿宋" w:cs="Times New Roman"/>
          <w:kern w:val="0"/>
          <w:sz w:val="32"/>
          <w:szCs w:val="32"/>
        </w:rPr>
        <w:t>正式投档录取结束后，如我校仍有计划缺额，考生可于2022年5月18日10:00至19日10:00进行征集志愿。征集志愿采用顺序志愿模式，考生可填2所院校志愿，每所院校有10个专业志愿和是否服从专业调剂选项。</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六、录取</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（一）录取时间</w:t>
      </w:r>
    </w:p>
    <w:p>
      <w:pPr>
        <w:spacing w:line="570" w:lineRule="exact"/>
        <w:ind w:firstLine="640" w:firstLineChars="200"/>
        <w:rPr>
          <w:rFonts w:ascii="仿宋" w:hAnsi="仿宋" w:eastAsia="仿宋"/>
          <w:kern w:val="0"/>
          <w:sz w:val="32"/>
          <w:szCs w:val="32"/>
        </w:rPr>
      </w:pPr>
      <w:r>
        <w:rPr>
          <w:rFonts w:hint="eastAsia" w:ascii="仿宋" w:hAnsi="仿宋" w:eastAsia="仿宋"/>
          <w:kern w:val="0"/>
          <w:sz w:val="32"/>
          <w:szCs w:val="32"/>
        </w:rPr>
        <w:t>正式投档录取时间：2022年5月11日至17日；</w:t>
      </w:r>
    </w:p>
    <w:p>
      <w:pPr>
        <w:spacing w:line="570" w:lineRule="exact"/>
        <w:ind w:firstLine="640" w:firstLineChars="200"/>
        <w:rPr>
          <w:rFonts w:ascii="仿宋" w:hAnsi="仿宋" w:eastAsia="仿宋"/>
          <w:sz w:val="32"/>
          <w:szCs w:val="32"/>
        </w:rPr>
      </w:pPr>
      <w:r>
        <w:rPr>
          <w:rFonts w:hint="eastAsia" w:ascii="仿宋" w:hAnsi="仿宋" w:eastAsia="仿宋"/>
          <w:kern w:val="0"/>
          <w:sz w:val="32"/>
          <w:szCs w:val="32"/>
        </w:rPr>
        <w:t>征集志愿投档录取时间：2022年5月19日至20</w:t>
      </w:r>
      <w:r>
        <w:rPr>
          <w:rFonts w:ascii="仿宋" w:hAnsi="仿宋" w:eastAsia="仿宋"/>
          <w:kern w:val="0"/>
          <w:sz w:val="32"/>
          <w:szCs w:val="32"/>
        </w:rPr>
        <w:t>日</w:t>
      </w:r>
      <w:r>
        <w:rPr>
          <w:rFonts w:hint="eastAsia" w:ascii="仿宋" w:hAnsi="仿宋" w:eastAsia="仿宋"/>
          <w:kern w:val="0"/>
          <w:sz w:val="32"/>
          <w:szCs w:val="32"/>
        </w:rPr>
        <w:t>。</w:t>
      </w:r>
    </w:p>
    <w:p>
      <w:pPr>
        <w:spacing w:line="570" w:lineRule="exact"/>
        <w:ind w:firstLine="643" w:firstLineChars="200"/>
        <w:rPr>
          <w:rFonts w:ascii="楷体" w:hAnsi="楷体" w:eastAsia="楷体"/>
          <w:b/>
          <w:sz w:val="32"/>
          <w:szCs w:val="32"/>
        </w:rPr>
      </w:pPr>
      <w:r>
        <w:rPr>
          <w:rFonts w:hint="eastAsia" w:ascii="楷体" w:hAnsi="楷体" w:eastAsia="楷体"/>
          <w:b/>
          <w:sz w:val="32"/>
          <w:szCs w:val="32"/>
        </w:rPr>
        <w:t>（二）录取原则</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1. 申报我校高职单招的考生必须参加广西公办高职高专招生联盟统一组织的联合测试并且职业适应性测试成绩合格。没有参加联合测试或职业适应性测试成绩不合格的考生，不予录取；</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2.考生分数排序规则为：联合测试总成绩（文化素质原始成绩+职业适应性测试成绩+附加分）— 文化素质原始成绩— 语文科学考原始成绩 —数学科学考原始成绩 — 英语科学考原始成绩— 附加分。即按照联合测试总成绩（文化素质原始成绩+职业适应性测试成绩+附加分）从高分到低分顺序录取；如联合测试总成绩（文化素质成绩+职业适应性测试成绩+附加分）相同，则比较高中学业水平考试原始成绩（语、数、英3门成绩之和），成绩高者排在前面；如高中学业水平考试成绩（语、数、英3门成绩之和）相同，则比较语文科学考成绩；依次类推。</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按以上规则排序后如出现排名相同，则参考普通高中综合素质评价择优录取。</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3. 广西招生考试院按顺序志愿投档原则，将填报了我校志愿且有相应院校备案成绩的考生进行投档，一志愿投档录取结束后，依次进行二、三、四志愿投档录取。每轮投档后，我校可根据专业计划缺额情况和考生志愿，在确保公平公正的前提下进行专业计划调整，以尽量满足考生专业志愿。</w:t>
      </w:r>
    </w:p>
    <w:p>
      <w:pPr>
        <w:spacing w:line="570" w:lineRule="exact"/>
        <w:ind w:firstLine="664" w:firstLineChars="200"/>
        <w:rPr>
          <w:rFonts w:ascii="仿宋" w:hAnsi="仿宋" w:eastAsia="仿宋"/>
          <w:kern w:val="0"/>
          <w:sz w:val="32"/>
          <w:szCs w:val="32"/>
        </w:rPr>
      </w:pPr>
      <w:r>
        <w:rPr>
          <w:rFonts w:hint="eastAsia" w:ascii="仿宋" w:hAnsi="仿宋" w:eastAsia="仿宋" w:cs="方正仿宋简体"/>
          <w:spacing w:val="6"/>
          <w:sz w:val="32"/>
          <w:szCs w:val="32"/>
        </w:rPr>
        <w:t>4.我校按照“分数优先、遵循专业志愿”的录取原则，对进档考生按分数从高到低直至录满招生计划。若考生第一专业志愿不能满足，按其第二专业志愿录取，依此类推。</w:t>
      </w:r>
    </w:p>
    <w:p>
      <w:pPr>
        <w:spacing w:line="570" w:lineRule="exact"/>
        <w:ind w:firstLine="664" w:firstLineChars="200"/>
        <w:rPr>
          <w:rFonts w:ascii="仿宋" w:hAnsi="仿宋" w:eastAsia="仿宋"/>
          <w:iCs/>
          <w:color w:val="000000" w:themeColor="text1"/>
          <w:sz w:val="32"/>
          <w:szCs w:val="32"/>
        </w:rPr>
      </w:pPr>
      <w:r>
        <w:rPr>
          <w:rFonts w:hint="eastAsia" w:ascii="仿宋" w:hAnsi="仿宋" w:eastAsia="仿宋" w:cs="方正仿宋简体"/>
          <w:spacing w:val="6"/>
          <w:sz w:val="32"/>
          <w:szCs w:val="32"/>
        </w:rPr>
        <w:t>5</w:t>
      </w:r>
      <w:r>
        <w:rPr>
          <w:rFonts w:ascii="仿宋" w:hAnsi="仿宋" w:eastAsia="仿宋" w:cs="方正仿宋简体"/>
          <w:spacing w:val="6"/>
          <w:sz w:val="32"/>
          <w:szCs w:val="32"/>
        </w:rPr>
        <w:t>.</w:t>
      </w:r>
      <w:r>
        <w:rPr>
          <w:rFonts w:hint="eastAsia" w:ascii="仿宋" w:hAnsi="仿宋" w:eastAsia="仿宋"/>
          <w:sz w:val="32"/>
          <w:szCs w:val="32"/>
        </w:rPr>
        <w:t xml:space="preserve"> 考生所填专业志愿均不能满足时，若考生填了“服从专业调剂”，则可调剂至其他未录满专业；若考生填了“不服从专业调剂”，则按退档处理。</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（三）录取名单公示</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录取名单经自治区招生考试院审核通过后，</w:t>
      </w:r>
      <w:r>
        <w:rPr>
          <w:rFonts w:hint="eastAsia" w:ascii="仿宋" w:hAnsi="仿宋" w:eastAsia="仿宋"/>
          <w:kern w:val="0"/>
          <w:sz w:val="32"/>
          <w:szCs w:val="32"/>
        </w:rPr>
        <w:t>于2022年5月23日前</w:t>
      </w:r>
      <w:r>
        <w:rPr>
          <w:rFonts w:hint="eastAsia" w:ascii="仿宋" w:hAnsi="仿宋" w:eastAsia="仿宋"/>
          <w:sz w:val="32"/>
          <w:szCs w:val="32"/>
        </w:rPr>
        <w:t>在我校网站上公示，公示的信息保留至当年年底。</w:t>
      </w:r>
    </w:p>
    <w:p>
      <w:pPr>
        <w:spacing w:line="560" w:lineRule="exact"/>
        <w:ind w:firstLine="643" w:firstLineChars="200"/>
        <w:rPr>
          <w:rFonts w:ascii="楷体" w:hAnsi="楷体" w:eastAsia="楷体"/>
          <w:b/>
          <w:bCs/>
          <w:sz w:val="32"/>
          <w:szCs w:val="32"/>
        </w:rPr>
      </w:pPr>
      <w:r>
        <w:rPr>
          <w:rFonts w:hint="eastAsia" w:ascii="楷体" w:hAnsi="楷体" w:eastAsia="楷体"/>
          <w:b/>
          <w:bCs/>
          <w:sz w:val="32"/>
          <w:szCs w:val="32"/>
        </w:rPr>
        <w:t>（四）发放录取通知书</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在公示10个工作日后，我校对公示无异议的考生发放录取通知书，录取通知书寄至考生高考报名时填写的通信地址，请考生保持通讯畅通。</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七、空中乘务专业招生要求</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（1）热爱祖国、热爱党，有志于从事交通服务业，具有良好的职业素养。</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（2）口齿清楚，中、英文发音基本标准，听力正常。</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（3）身高要求：女生 160-175cm；男生：170-185cm。</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（4）视力要求：双眼矫正视力在（E型）表上不低于4.8；无斜视、无色盲、无色弱。</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（5）身体素质：身体健康，动作协调，无明显内外八字步；面部、颈部、手部无明显疤痕，无纹身；无心理疾病、无精神病史、肝炎病史、无慢性病史等。</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（6） 家庭背景：学生及学生父母无犯罪记录。</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（7）入学后由学校联合航空服务企业组织面试，面试不合格可申请转读文化与旅游学院其他专业。</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八、重要提示</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（一）高职单招是普通高等学校招生工作的一部分，已被高职单招录取的考生不再参加普通高等学校招生全国统一考试录取或其他分类考试招生录取。</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二）遵纪守法，严惩违规。对在联合测试中被认定为违规的考生和工作人员，将按《国家教育考试违规处理办法》（中华人民共和国教育部令第33号）、《普通高等学校招生违规行为处理暂行办法》（中华人民共和国教育部令第36号）进行处理，并将违规事实处理结果报送自治区招生考试院进行后续处理。如违规行为触犯了《中华人民共和国刑法修正案（九）》，将由司法机关依法追究刑事责任。</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九、学校概况</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学校全称：广西国际</w:t>
      </w:r>
      <w:r>
        <w:rPr>
          <w:rFonts w:ascii="仿宋" w:hAnsi="仿宋" w:eastAsia="仿宋"/>
          <w:sz w:val="32"/>
          <w:szCs w:val="32"/>
        </w:rPr>
        <w:t>商务职业技术学院</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办学类型：全日制公办高等职业技术学院</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国标代码：12379</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办学地点：</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1.南宁市大学路校区（南宁市大学东路168号）</w:t>
      </w:r>
    </w:p>
    <w:p>
      <w:pPr>
        <w:spacing w:line="570" w:lineRule="exact"/>
        <w:ind w:firstLine="640" w:firstLineChars="200"/>
        <w:rPr>
          <w:rFonts w:ascii="仿宋" w:hAnsi="仿宋" w:eastAsia="仿宋"/>
          <w:sz w:val="32"/>
          <w:szCs w:val="32"/>
        </w:rPr>
      </w:pPr>
      <w:r>
        <w:rPr>
          <w:rFonts w:hint="eastAsia" w:ascii="仿宋" w:hAnsi="仿宋" w:eastAsia="仿宋"/>
          <w:color w:val="000000" w:themeColor="text1"/>
          <w:sz w:val="32"/>
          <w:szCs w:val="32"/>
        </w:rPr>
        <w:t>2.</w:t>
      </w:r>
      <w:r>
        <w:rPr>
          <w:rFonts w:hint="eastAsia" w:ascii="仿宋" w:hAnsi="仿宋" w:eastAsia="仿宋"/>
          <w:sz w:val="32"/>
          <w:szCs w:val="32"/>
        </w:rPr>
        <w:t>东盟校区（南宁市广西—东盟经济技术开发区发展大道109号）</w:t>
      </w:r>
    </w:p>
    <w:p>
      <w:pPr>
        <w:spacing w:line="570" w:lineRule="exact"/>
        <w:ind w:firstLine="640" w:firstLineChars="200"/>
        <w:rPr>
          <w:rFonts w:ascii="仿宋" w:hAnsi="仿宋" w:eastAsia="仿宋"/>
          <w:color w:val="000000" w:themeColor="text1"/>
          <w:sz w:val="32"/>
          <w:szCs w:val="32"/>
        </w:rPr>
      </w:pPr>
      <w:r>
        <w:rPr>
          <w:rFonts w:hint="eastAsia" w:ascii="仿宋" w:hAnsi="仿宋" w:eastAsia="仿宋"/>
          <w:sz w:val="32"/>
          <w:szCs w:val="32"/>
        </w:rPr>
        <w:t>学校网址：</w:t>
      </w:r>
      <w:r>
        <w:fldChar w:fldCharType="begin"/>
      </w:r>
      <w:r>
        <w:instrText xml:space="preserve"> HYPERLINK "http://www.gxibvc.net" </w:instrText>
      </w:r>
      <w:r>
        <w:fldChar w:fldCharType="separate"/>
      </w:r>
      <w:r>
        <w:rPr>
          <w:rStyle w:val="11"/>
          <w:rFonts w:hint="eastAsia" w:ascii="仿宋" w:hAnsi="仿宋" w:eastAsia="仿宋"/>
          <w:sz w:val="32"/>
          <w:szCs w:val="32"/>
        </w:rPr>
        <w:t>http://www.gxibvc.net</w:t>
      </w:r>
      <w:r>
        <w:rPr>
          <w:rStyle w:val="11"/>
          <w:rFonts w:hint="eastAsia" w:ascii="仿宋" w:hAnsi="仿宋" w:eastAsia="仿宋"/>
          <w:sz w:val="32"/>
          <w:szCs w:val="32"/>
        </w:rPr>
        <w:fldChar w:fldCharType="end"/>
      </w:r>
    </w:p>
    <w:p>
      <w:pPr>
        <w:spacing w:line="570" w:lineRule="exact"/>
        <w:ind w:firstLine="640" w:firstLineChars="200"/>
        <w:rPr>
          <w:rFonts w:ascii="仿宋" w:hAnsi="仿宋" w:eastAsia="仿宋"/>
          <w:sz w:val="32"/>
          <w:szCs w:val="32"/>
        </w:rPr>
      </w:pPr>
      <w:r>
        <w:rPr>
          <w:rFonts w:hint="eastAsia" w:ascii="仿宋" w:hAnsi="仿宋" w:eastAsia="仿宋"/>
          <w:sz w:val="32"/>
          <w:szCs w:val="32"/>
        </w:rPr>
        <w:t>招生电话：0771-3241618</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投诉电话：0771-</w:t>
      </w:r>
      <w:r>
        <w:rPr>
          <w:rFonts w:ascii="仿宋" w:hAnsi="仿宋" w:eastAsia="仿宋"/>
          <w:sz w:val="32"/>
          <w:szCs w:val="32"/>
        </w:rPr>
        <w:t>324</w:t>
      </w:r>
      <w:r>
        <w:rPr>
          <w:rFonts w:hint="eastAsia" w:ascii="仿宋" w:hAnsi="仿宋" w:eastAsia="仿宋"/>
          <w:sz w:val="32"/>
          <w:szCs w:val="32"/>
        </w:rPr>
        <w:t>1689</w:t>
      </w:r>
    </w:p>
    <w:p>
      <w:pPr>
        <w:spacing w:line="570" w:lineRule="exact"/>
        <w:ind w:firstLine="640" w:firstLineChars="200"/>
        <w:rPr>
          <w:rFonts w:ascii="黑体" w:hAnsi="黑体" w:eastAsia="黑体"/>
          <w:sz w:val="32"/>
          <w:szCs w:val="32"/>
        </w:rPr>
      </w:pPr>
      <w:r>
        <w:rPr>
          <w:rFonts w:hint="eastAsia" w:ascii="黑体" w:hAnsi="黑体" w:eastAsia="黑体"/>
          <w:sz w:val="32"/>
          <w:szCs w:val="32"/>
        </w:rPr>
        <w:t>十、日程安排</w:t>
      </w:r>
    </w:p>
    <w:tbl>
      <w:tblPr>
        <w:tblStyle w:val="8"/>
        <w:tblW w:w="9432" w:type="dxa"/>
        <w:jc w:val="center"/>
        <w:tblLayout w:type="fixed"/>
        <w:tblCellMar>
          <w:top w:w="0" w:type="dxa"/>
          <w:left w:w="0" w:type="dxa"/>
          <w:bottom w:w="0" w:type="dxa"/>
          <w:right w:w="0" w:type="dxa"/>
        </w:tblCellMar>
      </w:tblPr>
      <w:tblGrid>
        <w:gridCol w:w="1993"/>
        <w:gridCol w:w="1703"/>
        <w:gridCol w:w="5736"/>
      </w:tblGrid>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kern w:val="0"/>
                <w:sz w:val="24"/>
                <w:szCs w:val="24"/>
              </w:rPr>
            </w:pPr>
            <w:r>
              <w:rPr>
                <w:rFonts w:hint="eastAsia" w:ascii="仿宋" w:hAnsi="仿宋" w:eastAsia="仿宋"/>
                <w:bCs/>
                <w:color w:val="000000"/>
                <w:kern w:val="0"/>
                <w:sz w:val="24"/>
                <w:szCs w:val="24"/>
              </w:rPr>
              <w:t>时  间</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kern w:val="0"/>
                <w:sz w:val="24"/>
                <w:szCs w:val="24"/>
              </w:rPr>
            </w:pPr>
            <w:r>
              <w:rPr>
                <w:rFonts w:hint="eastAsia" w:ascii="仿宋" w:hAnsi="仿宋" w:eastAsia="仿宋"/>
                <w:bCs/>
                <w:color w:val="000000"/>
                <w:kern w:val="0"/>
                <w:sz w:val="24"/>
                <w:szCs w:val="24"/>
              </w:rPr>
              <w:t>内  容</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jc w:val="center"/>
              <w:rPr>
                <w:rFonts w:ascii="仿宋" w:hAnsi="仿宋" w:eastAsia="仿宋"/>
                <w:color w:val="000000"/>
                <w:kern w:val="0"/>
                <w:sz w:val="24"/>
                <w:szCs w:val="24"/>
              </w:rPr>
            </w:pPr>
            <w:r>
              <w:rPr>
                <w:rFonts w:hint="eastAsia" w:ascii="仿宋" w:hAnsi="仿宋" w:eastAsia="仿宋"/>
                <w:bCs/>
                <w:color w:val="000000"/>
                <w:kern w:val="0"/>
                <w:sz w:val="24"/>
                <w:szCs w:val="24"/>
              </w:rPr>
              <w:t>重点提示</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b/>
                <w:bCs/>
                <w:color w:val="000000"/>
                <w:kern w:val="0"/>
                <w:sz w:val="24"/>
                <w:szCs w:val="24"/>
              </w:rPr>
            </w:pPr>
            <w:r>
              <w:rPr>
                <w:rFonts w:hint="eastAsia" w:ascii="仿宋" w:hAnsi="仿宋" w:eastAsia="仿宋"/>
                <w:bCs/>
                <w:color w:val="000000"/>
                <w:spacing w:val="-22"/>
                <w:kern w:val="0"/>
                <w:sz w:val="24"/>
                <w:szCs w:val="24"/>
              </w:rPr>
              <w:t>2022年3月7日9:00 -4月8日18:00止</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b/>
                <w:bCs/>
                <w:color w:val="000000"/>
                <w:kern w:val="0"/>
                <w:sz w:val="24"/>
                <w:szCs w:val="24"/>
              </w:rPr>
            </w:pPr>
            <w:r>
              <w:rPr>
                <w:rFonts w:hint="eastAsia" w:ascii="仿宋" w:hAnsi="仿宋" w:eastAsia="仿宋"/>
                <w:color w:val="000000"/>
                <w:kern w:val="0"/>
                <w:sz w:val="24"/>
                <w:szCs w:val="24"/>
              </w:rPr>
              <w:t>网上申报、</w:t>
            </w:r>
            <w:r>
              <w:rPr>
                <w:rFonts w:hint="eastAsia" w:ascii="仿宋" w:hAnsi="仿宋" w:eastAsia="仿宋"/>
                <w:color w:val="000000"/>
                <w:sz w:val="24"/>
                <w:szCs w:val="24"/>
              </w:rPr>
              <w:t>缴费</w:t>
            </w:r>
          </w:p>
        </w:tc>
        <w:tc>
          <w:tcPr>
            <w:tcW w:w="5736" w:type="dxa"/>
            <w:tcBorders>
              <w:top w:val="single" w:color="000000" w:sz="6" w:space="0"/>
              <w:left w:val="single" w:color="auto" w:sz="4" w:space="0"/>
              <w:bottom w:val="single" w:color="000000" w:sz="6" w:space="0"/>
              <w:right w:val="single" w:color="000000" w:sz="6" w:space="0"/>
            </w:tcBorders>
            <w:vAlign w:val="center"/>
          </w:tcPr>
          <w:p>
            <w:pPr>
              <w:spacing w:line="360" w:lineRule="exact"/>
              <w:rPr>
                <w:rFonts w:ascii="仿宋" w:hAnsi="仿宋" w:eastAsia="仿宋"/>
                <w:b/>
                <w:bCs/>
                <w:color w:val="000000"/>
                <w:sz w:val="24"/>
                <w:szCs w:val="24"/>
              </w:rPr>
            </w:pPr>
            <w:r>
              <w:rPr>
                <w:rFonts w:hint="eastAsia" w:ascii="仿宋" w:hAnsi="仿宋" w:eastAsia="仿宋"/>
                <w:b/>
                <w:bCs/>
                <w:color w:val="000000"/>
                <w:sz w:val="24"/>
                <w:szCs w:val="24"/>
              </w:rPr>
              <w:t>方法一：</w:t>
            </w:r>
            <w:r>
              <w:rPr>
                <w:rFonts w:hint="eastAsia" w:ascii="仿宋" w:hAnsi="仿宋" w:eastAsia="仿宋"/>
                <w:color w:val="000000"/>
                <w:sz w:val="24"/>
                <w:szCs w:val="24"/>
              </w:rPr>
              <w:t>登录广西招生考试院网站</w:t>
            </w:r>
            <w:r>
              <w:fldChar w:fldCharType="begin"/>
            </w:r>
            <w:r>
              <w:instrText xml:space="preserve"> HYPERLINK "http://www.gxeea.cn" </w:instrText>
            </w:r>
            <w:r>
              <w:fldChar w:fldCharType="separate"/>
            </w:r>
            <w:r>
              <w:rPr>
                <w:rFonts w:hint="eastAsia" w:ascii="仿宋" w:hAnsi="仿宋" w:eastAsia="仿宋"/>
                <w:color w:val="000000"/>
                <w:sz w:val="24"/>
                <w:szCs w:val="24"/>
              </w:rPr>
              <w:t>http://www.gxeea.cn</w:t>
            </w:r>
            <w:r>
              <w:rPr>
                <w:rFonts w:hint="eastAsia" w:ascii="仿宋" w:hAnsi="仿宋" w:eastAsia="仿宋"/>
                <w:color w:val="000000"/>
                <w:sz w:val="24"/>
                <w:szCs w:val="24"/>
              </w:rPr>
              <w:fldChar w:fldCharType="end"/>
            </w:r>
            <w:r>
              <w:rPr>
                <w:rFonts w:hint="eastAsia" w:ascii="仿宋" w:hAnsi="仿宋" w:eastAsia="仿宋"/>
                <w:color w:val="000000"/>
                <w:sz w:val="24"/>
                <w:szCs w:val="24"/>
              </w:rPr>
              <w:t>，通过首页系统导航的“考试报名”栏目或普通高考的“高职单招”栏目中的“广西2022年高职单招和高职对口中职考生申报快速通道”链接，选择“广西公办高职高专招生联盟”栏目进入联合测试网站</w:t>
            </w:r>
            <w:r>
              <w:rPr>
                <w:rFonts w:ascii="仿宋" w:hAnsi="仿宋" w:eastAsia="仿宋"/>
                <w:color w:val="000000"/>
                <w:sz w:val="24"/>
                <w:szCs w:val="24"/>
              </w:rPr>
              <w:t>http://www.gxzslm.cn</w:t>
            </w:r>
            <w:r>
              <w:rPr>
                <w:rFonts w:hint="eastAsia" w:ascii="仿宋" w:hAnsi="仿宋" w:eastAsia="仿宋"/>
                <w:b/>
                <w:color w:val="000000"/>
                <w:sz w:val="24"/>
                <w:szCs w:val="24"/>
              </w:rPr>
              <w:t>填写申报信息→缴费：网上支付，按系统提示操作，</w:t>
            </w:r>
            <w:r>
              <w:rPr>
                <w:rFonts w:hint="eastAsia" w:ascii="仿宋" w:hAnsi="仿宋" w:eastAsia="仿宋"/>
                <w:color w:val="000000"/>
                <w:sz w:val="24"/>
                <w:szCs w:val="24"/>
              </w:rPr>
              <w:t>缴费截止时间：4月8日18：00。</w:t>
            </w:r>
          </w:p>
          <w:p>
            <w:pPr>
              <w:spacing w:line="360" w:lineRule="exact"/>
              <w:jc w:val="left"/>
              <w:rPr>
                <w:rFonts w:ascii="仿宋" w:hAnsi="仿宋" w:eastAsia="仿宋"/>
                <w:color w:val="000000"/>
                <w:sz w:val="24"/>
                <w:szCs w:val="24"/>
              </w:rPr>
            </w:pPr>
            <w:r>
              <w:rPr>
                <w:rFonts w:hint="eastAsia" w:ascii="仿宋" w:hAnsi="仿宋" w:eastAsia="仿宋"/>
                <w:b/>
                <w:bCs/>
                <w:color w:val="000000"/>
                <w:sz w:val="24"/>
                <w:szCs w:val="24"/>
              </w:rPr>
              <w:t>方法二：</w:t>
            </w:r>
            <w:r>
              <w:rPr>
                <w:rFonts w:hint="eastAsia" w:ascii="仿宋" w:hAnsi="仿宋" w:eastAsia="仿宋"/>
                <w:color w:val="000000"/>
                <w:sz w:val="24"/>
                <w:szCs w:val="24"/>
              </w:rPr>
              <w:t>智能手机登录</w:t>
            </w:r>
            <w:r>
              <w:rPr>
                <w:rFonts w:ascii="仿宋" w:hAnsi="仿宋" w:eastAsia="仿宋"/>
                <w:color w:val="000000"/>
                <w:sz w:val="24"/>
                <w:szCs w:val="24"/>
              </w:rPr>
              <w:t>http://</w:t>
            </w:r>
            <w:r>
              <w:rPr>
                <w:rFonts w:hint="eastAsia" w:ascii="仿宋" w:hAnsi="仿宋" w:eastAsia="仿宋"/>
                <w:color w:val="000000"/>
                <w:sz w:val="24"/>
                <w:szCs w:val="24"/>
              </w:rPr>
              <w:t>m</w:t>
            </w:r>
            <w:r>
              <w:rPr>
                <w:rFonts w:ascii="仿宋" w:hAnsi="仿宋" w:eastAsia="仿宋"/>
                <w:color w:val="000000"/>
                <w:sz w:val="24"/>
                <w:szCs w:val="24"/>
              </w:rPr>
              <w:t>.gxzslm.cn</w:t>
            </w:r>
            <w:r>
              <w:rPr>
                <w:rFonts w:hint="eastAsia" w:ascii="仿宋" w:hAnsi="仿宋" w:eastAsia="仿宋"/>
                <w:color w:val="000000"/>
                <w:sz w:val="24"/>
                <w:szCs w:val="24"/>
              </w:rPr>
              <w:t>点击“广西公办高职高专招生联盟申报系统”栏目</w:t>
            </w:r>
            <w:r>
              <w:rPr>
                <w:rFonts w:hint="eastAsia" w:ascii="仿宋" w:hAnsi="仿宋" w:eastAsia="仿宋"/>
                <w:b/>
                <w:color w:val="000000"/>
                <w:sz w:val="24"/>
                <w:szCs w:val="24"/>
              </w:rPr>
              <w:t>填写申报信息→缴费：网上支付，按系统提示操作，</w:t>
            </w:r>
            <w:r>
              <w:rPr>
                <w:rFonts w:hint="eastAsia" w:ascii="仿宋" w:hAnsi="仿宋" w:eastAsia="仿宋"/>
                <w:color w:val="000000"/>
                <w:sz w:val="24"/>
                <w:szCs w:val="24"/>
              </w:rPr>
              <w:t>缴费截止时间：4月8日18：00。</w:t>
            </w:r>
          </w:p>
          <w:p>
            <w:pPr>
              <w:spacing w:line="360" w:lineRule="exact"/>
              <w:rPr>
                <w:rFonts w:ascii="仿宋" w:hAnsi="仿宋" w:eastAsia="仿宋"/>
                <w:color w:val="000000"/>
                <w:sz w:val="24"/>
                <w:szCs w:val="24"/>
              </w:rPr>
            </w:pPr>
            <w:r>
              <w:rPr>
                <w:rFonts w:hint="eastAsia" w:ascii="仿宋" w:hAnsi="仿宋" w:eastAsia="仿宋"/>
                <w:b/>
                <w:color w:val="000000"/>
                <w:sz w:val="24"/>
                <w:szCs w:val="24"/>
              </w:rPr>
              <w:t>方法三：</w:t>
            </w:r>
            <w:r>
              <w:rPr>
                <w:rFonts w:hint="eastAsia" w:ascii="仿宋" w:hAnsi="仿宋" w:eastAsia="仿宋"/>
                <w:bCs/>
                <w:color w:val="000000"/>
                <w:sz w:val="24"/>
                <w:szCs w:val="24"/>
              </w:rPr>
              <w:t>登录广西国际商务职业技术学院，从学校网站（http://www.gxibvc.net）进入联合测试网站（</w:t>
            </w:r>
            <w:r>
              <w:rPr>
                <w:rFonts w:hint="eastAsia" w:ascii="仿宋" w:hAnsi="仿宋" w:eastAsia="仿宋"/>
                <w:bCs/>
                <w:color w:val="000000"/>
                <w:sz w:val="24"/>
                <w:szCs w:val="24"/>
              </w:rPr>
              <w:fldChar w:fldCharType="begin"/>
            </w:r>
            <w:r>
              <w:rPr>
                <w:rFonts w:hint="eastAsia" w:ascii="仿宋" w:hAnsi="仿宋" w:eastAsia="仿宋"/>
                <w:bCs/>
                <w:color w:val="000000"/>
                <w:sz w:val="24"/>
                <w:szCs w:val="24"/>
              </w:rPr>
              <w:instrText xml:space="preserve"> HYPERLINK "http://www.gxzslm.cn" </w:instrText>
            </w:r>
            <w:r>
              <w:rPr>
                <w:rFonts w:hint="eastAsia" w:ascii="仿宋" w:hAnsi="仿宋" w:eastAsia="仿宋"/>
                <w:bCs/>
                <w:color w:val="000000"/>
                <w:sz w:val="24"/>
                <w:szCs w:val="24"/>
              </w:rPr>
              <w:fldChar w:fldCharType="separate"/>
            </w:r>
            <w:r>
              <w:rPr>
                <w:rFonts w:hint="eastAsia" w:ascii="仿宋" w:hAnsi="仿宋" w:eastAsia="仿宋"/>
                <w:bCs/>
                <w:color w:val="000000"/>
                <w:sz w:val="24"/>
                <w:szCs w:val="24"/>
              </w:rPr>
              <w:t>http://www.gxzslm.cn</w:t>
            </w:r>
            <w:r>
              <w:rPr>
                <w:rFonts w:hint="eastAsia" w:ascii="仿宋" w:hAnsi="仿宋" w:eastAsia="仿宋"/>
                <w:bCs/>
                <w:color w:val="000000"/>
                <w:sz w:val="24"/>
                <w:szCs w:val="24"/>
              </w:rPr>
              <w:fldChar w:fldCharType="end"/>
            </w:r>
            <w:r>
              <w:rPr>
                <w:rFonts w:hint="eastAsia" w:ascii="仿宋" w:hAnsi="仿宋" w:eastAsia="仿宋"/>
                <w:bCs/>
                <w:color w:val="000000"/>
                <w:sz w:val="24"/>
                <w:szCs w:val="24"/>
              </w:rPr>
              <w:t>）点击“广西公办高职高专招生联盟申报系统”栏目填写申报信息。</w:t>
            </w:r>
            <w:r>
              <w:rPr>
                <w:rFonts w:hint="eastAsia" w:ascii="仿宋" w:hAnsi="仿宋" w:eastAsia="仿宋"/>
                <w:b/>
                <w:color w:val="000000"/>
                <w:sz w:val="24"/>
                <w:szCs w:val="24"/>
              </w:rPr>
              <w:t>登录填写申报信息→缴费：网上支付，按系统提示操作</w:t>
            </w:r>
            <w:r>
              <w:rPr>
                <w:rFonts w:hint="eastAsia" w:ascii="仿宋" w:hAnsi="仿宋" w:eastAsia="仿宋"/>
                <w:bCs/>
                <w:color w:val="000000"/>
                <w:sz w:val="24"/>
                <w:szCs w:val="24"/>
              </w:rPr>
              <w:t>，</w:t>
            </w:r>
            <w:r>
              <w:rPr>
                <w:rFonts w:hint="eastAsia" w:ascii="仿宋" w:hAnsi="仿宋" w:eastAsia="仿宋"/>
                <w:color w:val="000000"/>
                <w:sz w:val="24"/>
                <w:szCs w:val="24"/>
              </w:rPr>
              <w:t>缴费截止时间：4月8日18：00</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bCs/>
                <w:color w:val="000000"/>
                <w:spacing w:val="-22"/>
                <w:kern w:val="0"/>
                <w:sz w:val="24"/>
                <w:szCs w:val="24"/>
              </w:rPr>
            </w:pPr>
            <w:r>
              <w:rPr>
                <w:rFonts w:hint="eastAsia" w:ascii="仿宋" w:hAnsi="仿宋" w:eastAsia="仿宋"/>
                <w:color w:val="000000"/>
                <w:sz w:val="24"/>
                <w:szCs w:val="24"/>
              </w:rPr>
              <w:t>2022年4月12日9:00-4月15日18:00</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kern w:val="0"/>
                <w:sz w:val="24"/>
                <w:szCs w:val="24"/>
              </w:rPr>
            </w:pPr>
            <w:r>
              <w:rPr>
                <w:rFonts w:hint="eastAsia" w:ascii="仿宋" w:hAnsi="仿宋" w:eastAsia="仿宋"/>
                <w:color w:val="000000"/>
                <w:sz w:val="24"/>
                <w:szCs w:val="24"/>
              </w:rPr>
              <w:t>查阅准考证</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jc w:val="left"/>
              <w:rPr>
                <w:rFonts w:ascii="仿宋" w:hAnsi="仿宋" w:eastAsia="仿宋"/>
                <w:color w:val="000000"/>
                <w:sz w:val="24"/>
                <w:szCs w:val="24"/>
              </w:rPr>
            </w:pPr>
            <w:r>
              <w:rPr>
                <w:rFonts w:hint="eastAsia" w:ascii="仿宋" w:hAnsi="仿宋" w:eastAsia="仿宋"/>
                <w:color w:val="000000"/>
                <w:sz w:val="24"/>
                <w:szCs w:val="24"/>
              </w:rPr>
              <w:t>缴费成功后，考生于2022年4月12日上午9:00—4月15日18:00，进入高职单招职业适应性测试APP（APP使用手册将会在联合测试申报系统内向考生公布）查阅电子准考证，确定考试场次。</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2022年4月16日</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单招职业适应性测试</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ind w:left="63" w:leftChars="30" w:firstLine="2"/>
              <w:jc w:val="left"/>
              <w:rPr>
                <w:rFonts w:ascii="仿宋" w:hAnsi="仿宋" w:eastAsia="仿宋" w:cs="宋体"/>
                <w:color w:val="000000"/>
                <w:kern w:val="0"/>
                <w:sz w:val="24"/>
                <w:szCs w:val="24"/>
              </w:rPr>
            </w:pPr>
            <w:r>
              <w:rPr>
                <w:rFonts w:hint="eastAsia" w:ascii="仿宋" w:hAnsi="仿宋" w:eastAsia="仿宋"/>
                <w:color w:val="000000"/>
                <w:sz w:val="24"/>
                <w:szCs w:val="24"/>
              </w:rPr>
              <w:t>联合测试采用无纸化网络测试方式进行，全部为标准化试题，考生通过在手机上安装app答题。测试时长为40分钟，根据申报人数分批测试，考生参加正式测试的具体时间在准考证上注明。</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2022年4月18日-4月28日</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加分公示</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jc w:val="left"/>
              <w:rPr>
                <w:rFonts w:ascii="仿宋" w:hAnsi="仿宋" w:eastAsia="仿宋"/>
                <w:color w:val="000000"/>
                <w:sz w:val="24"/>
                <w:szCs w:val="24"/>
              </w:rPr>
            </w:pPr>
            <w:r>
              <w:rPr>
                <w:rFonts w:hint="eastAsia" w:ascii="仿宋" w:hAnsi="仿宋" w:eastAsia="仿宋"/>
                <w:color w:val="000000"/>
                <w:sz w:val="24"/>
                <w:szCs w:val="24"/>
              </w:rPr>
              <w:t>经联盟院校统一评审认定的附加分，将于2022年4月18日--4月28日在联合测试网站上公示。</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2022年4月30日后</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kern w:val="0"/>
                <w:sz w:val="24"/>
                <w:szCs w:val="24"/>
              </w:rPr>
            </w:pPr>
            <w:r>
              <w:rPr>
                <w:rFonts w:hint="eastAsia" w:ascii="仿宋" w:hAnsi="仿宋" w:eastAsia="仿宋"/>
                <w:color w:val="000000"/>
                <w:sz w:val="24"/>
                <w:szCs w:val="24"/>
              </w:rPr>
              <w:t>成绩查询</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jc w:val="left"/>
              <w:rPr>
                <w:rFonts w:ascii="仿宋" w:hAnsi="仿宋" w:eastAsia="仿宋"/>
                <w:color w:val="000000"/>
                <w:sz w:val="24"/>
                <w:szCs w:val="24"/>
              </w:rPr>
            </w:pPr>
            <w:r>
              <w:rPr>
                <w:rFonts w:hint="eastAsia" w:ascii="仿宋" w:hAnsi="仿宋" w:eastAsia="仿宋"/>
                <w:color w:val="000000"/>
                <w:sz w:val="24"/>
                <w:szCs w:val="24"/>
              </w:rPr>
              <w:t>考生可登录联合测试网站</w:t>
            </w:r>
            <w:r>
              <w:rPr>
                <w:rFonts w:ascii="仿宋" w:hAnsi="仿宋" w:eastAsia="仿宋"/>
                <w:color w:val="000000"/>
                <w:sz w:val="24"/>
                <w:szCs w:val="24"/>
              </w:rPr>
              <w:t>http://www.gxzs</w:t>
            </w:r>
            <w:r>
              <w:rPr>
                <w:rFonts w:hint="eastAsia" w:ascii="仿宋" w:hAnsi="仿宋" w:eastAsia="仿宋"/>
                <w:color w:val="000000"/>
                <w:sz w:val="24"/>
                <w:szCs w:val="24"/>
              </w:rPr>
              <w:t>l</w:t>
            </w:r>
            <w:r>
              <w:rPr>
                <w:rFonts w:ascii="仿宋" w:hAnsi="仿宋" w:eastAsia="仿宋"/>
                <w:color w:val="000000"/>
                <w:sz w:val="24"/>
                <w:szCs w:val="24"/>
              </w:rPr>
              <w:t>m.cn</w:t>
            </w:r>
            <w:r>
              <w:rPr>
                <w:rFonts w:hint="eastAsia" w:ascii="仿宋" w:hAnsi="仿宋" w:eastAsia="仿宋"/>
                <w:color w:val="000000"/>
                <w:sz w:val="24"/>
                <w:szCs w:val="24"/>
              </w:rPr>
              <w:t>查询本人成绩。</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2022年5月6日10:00 -9日12:00</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考生填报志愿</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jc w:val="left"/>
              <w:rPr>
                <w:rFonts w:ascii="仿宋" w:hAnsi="仿宋" w:eastAsia="仿宋"/>
                <w:color w:val="000000"/>
                <w:sz w:val="24"/>
                <w:szCs w:val="24"/>
              </w:rPr>
            </w:pPr>
            <w:r>
              <w:rPr>
                <w:rFonts w:hint="eastAsia" w:ascii="仿宋" w:hAnsi="仿宋" w:eastAsia="仿宋"/>
                <w:color w:val="000000"/>
                <w:sz w:val="24"/>
                <w:szCs w:val="24"/>
              </w:rPr>
              <w:t>1.</w:t>
            </w:r>
            <w:r>
              <w:rPr>
                <w:rFonts w:hint="eastAsia" w:ascii="仿宋" w:hAnsi="仿宋" w:eastAsia="仿宋"/>
                <w:sz w:val="24"/>
                <w:szCs w:val="24"/>
              </w:rPr>
              <w:t xml:space="preserve"> </w:t>
            </w:r>
            <w:r>
              <w:rPr>
                <w:rFonts w:hint="eastAsia" w:ascii="仿宋" w:hAnsi="仿宋" w:eastAsia="仿宋"/>
                <w:color w:val="000000"/>
                <w:sz w:val="24"/>
                <w:szCs w:val="24"/>
              </w:rPr>
              <w:t>考生于2022年5月6日10:00至9日12:00登录“广西招生考试院”网站志愿填报系统填报志愿。</w:t>
            </w:r>
          </w:p>
          <w:p>
            <w:pPr>
              <w:widowControl/>
              <w:spacing w:line="360" w:lineRule="exact"/>
              <w:jc w:val="left"/>
              <w:rPr>
                <w:rFonts w:ascii="仿宋" w:hAnsi="仿宋" w:eastAsia="仿宋"/>
                <w:color w:val="000000"/>
                <w:sz w:val="24"/>
                <w:szCs w:val="24"/>
              </w:rPr>
            </w:pPr>
            <w:r>
              <w:rPr>
                <w:rFonts w:hint="eastAsia" w:ascii="仿宋" w:hAnsi="仿宋" w:eastAsia="仿宋"/>
                <w:color w:val="000000"/>
                <w:sz w:val="24"/>
                <w:szCs w:val="24"/>
              </w:rPr>
              <w:t>2.每个考生最多可填报 4 个院校志愿，每所院校最多填报 10 个专业。志愿填报模式为顺序志愿。</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2022年5月11日-17日</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录取</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ind w:left="65"/>
              <w:jc w:val="left"/>
              <w:rPr>
                <w:rFonts w:ascii="仿宋" w:hAnsi="仿宋" w:eastAsia="仿宋"/>
                <w:color w:val="000000"/>
                <w:sz w:val="24"/>
                <w:szCs w:val="24"/>
              </w:rPr>
            </w:pPr>
            <w:r>
              <w:rPr>
                <w:rFonts w:hint="eastAsia" w:ascii="仿宋" w:hAnsi="仿宋" w:eastAsia="仿宋"/>
                <w:color w:val="000000"/>
                <w:sz w:val="24"/>
                <w:szCs w:val="24"/>
              </w:rPr>
              <w:t>广西招生考试院按顺序志愿投档原则投档，录取原则详见《广西国际商务职业技术学院2022年高等职业院校单独考试招生简章》。</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2022年5月18日10:00-19日10:00</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征集志愿</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ind w:left="63" w:leftChars="30" w:firstLine="2"/>
              <w:jc w:val="left"/>
              <w:rPr>
                <w:rFonts w:ascii="仿宋" w:hAnsi="仿宋" w:eastAsia="仿宋"/>
                <w:color w:val="000000"/>
                <w:sz w:val="24"/>
                <w:szCs w:val="24"/>
              </w:rPr>
            </w:pPr>
            <w:r>
              <w:rPr>
                <w:rFonts w:hint="eastAsia" w:ascii="仿宋" w:hAnsi="仿宋" w:eastAsia="仿宋"/>
                <w:color w:val="000000"/>
                <w:sz w:val="24"/>
                <w:szCs w:val="24"/>
              </w:rPr>
              <w:t>未被录取的考生可于5月18日10:00至19日10:00登录广西招生考试院志愿填报系统填报征集志愿。</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2022年5月19-20日</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征集志愿投档录取</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ind w:left="63" w:leftChars="30" w:firstLine="2"/>
              <w:jc w:val="left"/>
              <w:rPr>
                <w:rFonts w:ascii="仿宋" w:hAnsi="仿宋" w:eastAsia="仿宋"/>
                <w:color w:val="000000"/>
                <w:sz w:val="24"/>
                <w:szCs w:val="24"/>
              </w:rPr>
            </w:pPr>
            <w:r>
              <w:rPr>
                <w:rFonts w:hint="eastAsia" w:ascii="仿宋" w:hAnsi="仿宋" w:eastAsia="仿宋"/>
                <w:color w:val="000000"/>
                <w:sz w:val="24"/>
                <w:szCs w:val="24"/>
              </w:rPr>
              <w:t xml:space="preserve"> 单招征集志愿投档录取。</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2022年5月23日前</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公示录取名单</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numPr>
                <w:ilvl w:val="0"/>
                <w:numId w:val="1"/>
              </w:numPr>
              <w:spacing w:line="360" w:lineRule="exact"/>
              <w:ind w:left="63" w:firstLine="2"/>
              <w:jc w:val="left"/>
              <w:rPr>
                <w:rFonts w:ascii="仿宋" w:hAnsi="仿宋" w:eastAsia="仿宋"/>
                <w:color w:val="000000"/>
                <w:sz w:val="24"/>
                <w:szCs w:val="24"/>
              </w:rPr>
            </w:pPr>
            <w:r>
              <w:rPr>
                <w:rFonts w:hint="eastAsia" w:ascii="仿宋" w:hAnsi="仿宋" w:eastAsia="仿宋"/>
                <w:color w:val="000000"/>
                <w:sz w:val="24"/>
                <w:szCs w:val="24"/>
              </w:rPr>
              <w:t>按文件要求，公示时间10个工作日。</w:t>
            </w:r>
          </w:p>
          <w:p>
            <w:pPr>
              <w:widowControl/>
              <w:spacing w:line="360" w:lineRule="exact"/>
              <w:ind w:firstLine="120" w:firstLineChars="50"/>
              <w:jc w:val="left"/>
              <w:rPr>
                <w:rFonts w:ascii="仿宋" w:hAnsi="仿宋" w:eastAsia="仿宋"/>
                <w:sz w:val="24"/>
                <w:szCs w:val="24"/>
              </w:rPr>
            </w:pPr>
            <w:r>
              <w:rPr>
                <w:rFonts w:hint="eastAsia" w:ascii="仿宋" w:hAnsi="仿宋" w:eastAsia="仿宋"/>
                <w:color w:val="000000"/>
                <w:sz w:val="24"/>
                <w:szCs w:val="24"/>
              </w:rPr>
              <w:t>2.登录广西国际商务职业技术学院网站http://www.gxibvc.net，在快速通道栏内点击进入“招生信息网”查询。</w:t>
            </w:r>
          </w:p>
          <w:p>
            <w:pPr>
              <w:widowControl/>
              <w:spacing w:line="360" w:lineRule="exact"/>
              <w:ind w:firstLine="120" w:firstLineChars="50"/>
              <w:jc w:val="left"/>
              <w:rPr>
                <w:rFonts w:ascii="仿宋" w:hAnsi="仿宋" w:eastAsia="仿宋"/>
                <w:color w:val="000000"/>
                <w:sz w:val="24"/>
                <w:szCs w:val="24"/>
              </w:rPr>
            </w:pPr>
            <w:r>
              <w:rPr>
                <w:rFonts w:hint="eastAsia" w:ascii="仿宋" w:hAnsi="仿宋" w:eastAsia="仿宋"/>
                <w:color w:val="000000"/>
                <w:sz w:val="24"/>
                <w:szCs w:val="24"/>
              </w:rPr>
              <w:t>3.</w:t>
            </w:r>
            <w:r>
              <w:rPr>
                <w:rFonts w:hint="eastAsia" w:ascii="仿宋" w:hAnsi="仿宋" w:eastAsia="仿宋"/>
                <w:sz w:val="24"/>
                <w:szCs w:val="24"/>
              </w:rPr>
              <w:t xml:space="preserve"> </w:t>
            </w:r>
            <w:r>
              <w:rPr>
                <w:rFonts w:hint="eastAsia" w:ascii="仿宋" w:hAnsi="仿宋" w:eastAsia="仿宋"/>
                <w:color w:val="000000"/>
                <w:sz w:val="24"/>
                <w:szCs w:val="24"/>
              </w:rPr>
              <w:t>按照自治区招生考试院委员会办公室文件精神，已被高职单招录取的考生不得参加普通高等学校招生全国统一考试录取或其他分类考试招生录取。未被录取的考生，可以继续参加广西2022年普通高考统考或其他分类考试招生录取。</w:t>
            </w:r>
          </w:p>
        </w:tc>
      </w:tr>
      <w:tr>
        <w:tblPrEx>
          <w:tblCellMar>
            <w:top w:w="0" w:type="dxa"/>
            <w:left w:w="0" w:type="dxa"/>
            <w:bottom w:w="0" w:type="dxa"/>
            <w:right w:w="0" w:type="dxa"/>
          </w:tblCellMar>
        </w:tblPrEx>
        <w:trPr>
          <w:trHeight w:val="510" w:hRule="atLeast"/>
          <w:jc w:val="center"/>
        </w:trPr>
        <w:tc>
          <w:tcPr>
            <w:tcW w:w="1993" w:type="dxa"/>
            <w:tcBorders>
              <w:top w:val="single" w:color="000000" w:sz="6" w:space="0"/>
              <w:left w:val="single" w:color="000000" w:sz="6" w:space="0"/>
              <w:bottom w:val="single" w:color="000000" w:sz="6" w:space="0"/>
              <w:right w:val="single" w:color="000000" w:sz="6"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6月6日后</w:t>
            </w:r>
          </w:p>
        </w:tc>
        <w:tc>
          <w:tcPr>
            <w:tcW w:w="1703" w:type="dxa"/>
            <w:tcBorders>
              <w:top w:val="single" w:color="000000" w:sz="6" w:space="0"/>
              <w:left w:val="single" w:color="000000" w:sz="6" w:space="0"/>
              <w:bottom w:val="single" w:color="000000" w:sz="6" w:space="0"/>
              <w:right w:val="single" w:color="auto" w:sz="4" w:space="0"/>
            </w:tcBorders>
            <w:vAlign w:val="center"/>
          </w:tcPr>
          <w:p>
            <w:pPr>
              <w:widowControl/>
              <w:spacing w:line="360" w:lineRule="exact"/>
              <w:jc w:val="center"/>
              <w:rPr>
                <w:rFonts w:ascii="仿宋" w:hAnsi="仿宋" w:eastAsia="仿宋"/>
                <w:color w:val="000000"/>
                <w:sz w:val="24"/>
                <w:szCs w:val="24"/>
              </w:rPr>
            </w:pPr>
            <w:r>
              <w:rPr>
                <w:rFonts w:hint="eastAsia" w:ascii="仿宋" w:hAnsi="仿宋" w:eastAsia="仿宋"/>
                <w:color w:val="000000"/>
                <w:sz w:val="24"/>
                <w:szCs w:val="24"/>
              </w:rPr>
              <w:t>发放录取通知书</w:t>
            </w:r>
          </w:p>
        </w:tc>
        <w:tc>
          <w:tcPr>
            <w:tcW w:w="5736" w:type="dxa"/>
            <w:tcBorders>
              <w:top w:val="single" w:color="000000" w:sz="6" w:space="0"/>
              <w:left w:val="single" w:color="auto" w:sz="4" w:space="0"/>
              <w:bottom w:val="single" w:color="000000" w:sz="6" w:space="0"/>
              <w:right w:val="single" w:color="000000" w:sz="6" w:space="0"/>
            </w:tcBorders>
            <w:vAlign w:val="center"/>
          </w:tcPr>
          <w:p>
            <w:pPr>
              <w:widowControl/>
              <w:spacing w:line="360" w:lineRule="exact"/>
              <w:ind w:left="65"/>
              <w:jc w:val="left"/>
              <w:rPr>
                <w:rFonts w:ascii="仿宋" w:hAnsi="仿宋" w:eastAsia="仿宋"/>
                <w:color w:val="000000"/>
                <w:sz w:val="24"/>
                <w:szCs w:val="24"/>
              </w:rPr>
            </w:pPr>
            <w:r>
              <w:rPr>
                <w:rFonts w:hint="eastAsia" w:ascii="仿宋" w:hAnsi="仿宋" w:eastAsia="仿宋"/>
                <w:color w:val="000000"/>
                <w:sz w:val="24"/>
                <w:szCs w:val="24"/>
              </w:rPr>
              <w:t>对公示无异议的考生发放录取通知书。</w:t>
            </w:r>
          </w:p>
        </w:tc>
      </w:tr>
    </w:tbl>
    <w:p>
      <w:pPr>
        <w:spacing w:line="570" w:lineRule="exact"/>
        <w:rPr>
          <w:rFonts w:ascii="黑体" w:hAnsi="黑体" w:eastAsia="黑体"/>
          <w:sz w:val="32"/>
          <w:szCs w:val="32"/>
        </w:rPr>
      </w:pPr>
      <w:r>
        <w:rPr>
          <w:rFonts w:hint="eastAsia" w:ascii="黑体" w:hAnsi="黑体" w:eastAsia="黑体"/>
          <w:sz w:val="32"/>
          <w:szCs w:val="32"/>
        </w:rPr>
        <w:t>十一、其它</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（一）我校不委托任何中介机构或个人进行招生录取工作，凡以我校名义进行非法招生等活动的中介机构或个人，我校将依法追究其责任。望考生和家长不要轻信任何中介机构或个人的非法招生诈骗行为。</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（二）本简章若与国家法律、法规、规范和上级有关政策不一致，以国家法律、法规、规范和上级有关政策为准。学校以往有关招生工作的要求、规定如与本简章有冲突，以本简章为准。</w:t>
      </w:r>
    </w:p>
    <w:p>
      <w:pPr>
        <w:spacing w:line="570" w:lineRule="exact"/>
        <w:ind w:firstLine="640" w:firstLineChars="200"/>
        <w:rPr>
          <w:rFonts w:ascii="仿宋" w:hAnsi="仿宋" w:eastAsia="仿宋"/>
          <w:sz w:val="32"/>
          <w:szCs w:val="32"/>
        </w:rPr>
      </w:pPr>
      <w:r>
        <w:rPr>
          <w:rFonts w:hint="eastAsia" w:ascii="仿宋" w:hAnsi="仿宋" w:eastAsia="仿宋"/>
          <w:sz w:val="32"/>
          <w:szCs w:val="32"/>
        </w:rPr>
        <w:t>（三）本简章的解释权属广西国际</w:t>
      </w:r>
      <w:r>
        <w:rPr>
          <w:rFonts w:ascii="仿宋" w:hAnsi="仿宋" w:eastAsia="仿宋"/>
          <w:sz w:val="32"/>
          <w:szCs w:val="32"/>
        </w:rPr>
        <w:t>商务职业技术学院</w:t>
      </w:r>
      <w:r>
        <w:rPr>
          <w:rFonts w:hint="eastAsia" w:ascii="仿宋" w:hAnsi="仿宋" w:eastAsia="仿宋"/>
          <w:sz w:val="32"/>
          <w:szCs w:val="32"/>
        </w:rPr>
        <w:t>招生就业处。</w:t>
      </w:r>
    </w:p>
    <w:p>
      <w:pPr>
        <w:pStyle w:val="2"/>
        <w:rPr>
          <w:rFonts w:eastAsiaTheme="minorEastAsia"/>
        </w:rPr>
      </w:pPr>
    </w:p>
    <w:p>
      <w:pPr>
        <w:pStyle w:val="2"/>
        <w:rPr>
          <w:rFonts w:eastAsiaTheme="minorEastAsia"/>
        </w:rPr>
      </w:pPr>
    </w:p>
    <w:p>
      <w:pPr>
        <w:spacing w:line="570" w:lineRule="exact"/>
        <w:ind w:left="1598" w:leftChars="304" w:hanging="960" w:hangingChars="300"/>
        <w:rPr>
          <w:rFonts w:ascii="仿宋" w:hAnsi="仿宋" w:eastAsia="仿宋"/>
          <w:sz w:val="32"/>
          <w:szCs w:val="32"/>
        </w:rPr>
      </w:pPr>
      <w:r>
        <w:rPr>
          <w:rFonts w:hint="eastAsia" w:ascii="仿宋" w:hAnsi="仿宋" w:eastAsia="仿宋"/>
          <w:sz w:val="32"/>
          <w:szCs w:val="32"/>
        </w:rPr>
        <w:t>附件：广西公办高职高专院校招生联盟2022年高职单招联合测试院校成员名单</w:t>
      </w:r>
    </w:p>
    <w:p>
      <w:pPr>
        <w:spacing w:line="570" w:lineRule="exact"/>
        <w:rPr>
          <w:rFonts w:ascii="仿宋" w:hAnsi="仿宋" w:eastAsia="仿宋"/>
          <w:sz w:val="32"/>
          <w:szCs w:val="32"/>
        </w:rPr>
      </w:pPr>
      <w:bookmarkStart w:id="0" w:name="_GoBack"/>
      <w:bookmarkEnd w:id="0"/>
    </w:p>
    <w:p>
      <w:pPr>
        <w:spacing w:line="570" w:lineRule="exact"/>
        <w:ind w:firstLine="640" w:firstLineChars="200"/>
        <w:jc w:val="right"/>
        <w:rPr>
          <w:rFonts w:ascii="仿宋" w:hAnsi="仿宋" w:eastAsia="仿宋"/>
          <w:sz w:val="32"/>
          <w:szCs w:val="32"/>
        </w:rPr>
      </w:pPr>
      <w:r>
        <w:rPr>
          <w:rFonts w:hint="eastAsia" w:ascii="仿宋" w:hAnsi="仿宋" w:eastAsia="仿宋"/>
          <w:sz w:val="32"/>
          <w:szCs w:val="32"/>
        </w:rPr>
        <w:t>广西国际</w:t>
      </w:r>
      <w:r>
        <w:rPr>
          <w:rFonts w:ascii="仿宋" w:hAnsi="仿宋" w:eastAsia="仿宋"/>
          <w:sz w:val="32"/>
          <w:szCs w:val="32"/>
        </w:rPr>
        <w:t>商务职业技术学院</w:t>
      </w:r>
    </w:p>
    <w:p>
      <w:pPr>
        <w:spacing w:line="570" w:lineRule="exact"/>
        <w:ind w:firstLine="640" w:firstLineChars="200"/>
        <w:jc w:val="center"/>
        <w:rPr>
          <w:rFonts w:ascii="仿宋" w:hAnsi="仿宋" w:eastAsia="仿宋"/>
          <w:sz w:val="32"/>
          <w:szCs w:val="32"/>
        </w:rPr>
      </w:pPr>
      <w:r>
        <w:rPr>
          <w:rFonts w:hint="eastAsia" w:ascii="仿宋" w:hAnsi="仿宋" w:eastAsia="仿宋"/>
          <w:sz w:val="32"/>
          <w:szCs w:val="32"/>
        </w:rPr>
        <w:t xml:space="preserve">                            2022年2月28日</w:t>
      </w:r>
    </w:p>
    <w:p>
      <w:pPr>
        <w:spacing w:line="570" w:lineRule="exact"/>
        <w:rPr>
          <w:rFonts w:ascii="仿宋" w:hAnsi="仿宋" w:eastAsia="仿宋"/>
          <w:sz w:val="32"/>
          <w:szCs w:val="32"/>
        </w:rPr>
      </w:pPr>
    </w:p>
    <w:p>
      <w:pPr>
        <w:spacing w:line="570" w:lineRule="exact"/>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pStyle w:val="2"/>
        <w:rPr>
          <w:rFonts w:ascii="仿宋" w:hAnsi="仿宋" w:eastAsia="仿宋"/>
          <w:sz w:val="32"/>
          <w:szCs w:val="32"/>
        </w:rPr>
      </w:pPr>
    </w:p>
    <w:p>
      <w:pPr>
        <w:spacing w:line="570" w:lineRule="exact"/>
        <w:rPr>
          <w:rFonts w:ascii="仿宋" w:hAnsi="仿宋" w:eastAsia="仿宋" w:cs="MingLiU"/>
          <w:i/>
          <w:iCs/>
          <w:spacing w:val="-20"/>
          <w:sz w:val="32"/>
          <w:szCs w:val="32"/>
          <w:u w:val="single"/>
        </w:rPr>
      </w:pPr>
    </w:p>
    <w:p>
      <w:pPr>
        <w:spacing w:line="570" w:lineRule="exact"/>
        <w:rPr>
          <w:rFonts w:ascii="MingLiU" w:cs="MingLiU"/>
          <w:i/>
          <w:iCs/>
          <w:spacing w:val="-20"/>
          <w:sz w:val="33"/>
          <w:szCs w:val="33"/>
          <w:u w:val="single"/>
        </w:rPr>
      </w:pPr>
    </w:p>
    <w:p>
      <w:pPr>
        <w:spacing w:line="570" w:lineRule="exact"/>
        <w:rPr>
          <w:rFonts w:ascii="仿宋" w:hAnsi="仿宋" w:eastAsia="仿宋"/>
          <w:sz w:val="32"/>
          <w:szCs w:val="32"/>
        </w:rPr>
      </w:pPr>
      <w:r>
        <w:rPr>
          <w:rFonts w:hint="eastAsia" w:ascii="仿宋" w:hAnsi="仿宋" w:eastAsia="仿宋"/>
          <w:sz w:val="32"/>
          <w:szCs w:val="32"/>
        </w:rPr>
        <w:t>附件</w:t>
      </w:r>
    </w:p>
    <w:p>
      <w:pPr>
        <w:spacing w:before="156" w:beforeLines="50" w:line="570" w:lineRule="exact"/>
        <w:jc w:val="center"/>
        <w:rPr>
          <w:rFonts w:ascii="仿宋" w:hAnsi="仿宋" w:eastAsia="仿宋" w:cs="黑体"/>
          <w:b/>
          <w:sz w:val="32"/>
          <w:szCs w:val="32"/>
        </w:rPr>
      </w:pPr>
      <w:r>
        <w:rPr>
          <w:rFonts w:hint="eastAsia" w:ascii="仿宋" w:hAnsi="仿宋" w:eastAsia="仿宋" w:cs="黑体"/>
          <w:b/>
          <w:sz w:val="32"/>
          <w:szCs w:val="32"/>
        </w:rPr>
        <w:t>广西公办高职高专院校招生联盟</w:t>
      </w:r>
    </w:p>
    <w:p>
      <w:pPr>
        <w:spacing w:after="156" w:afterLines="50" w:line="570" w:lineRule="exact"/>
        <w:jc w:val="center"/>
        <w:rPr>
          <w:rFonts w:ascii="仿宋" w:hAnsi="仿宋" w:eastAsia="仿宋" w:cs="黑体"/>
          <w:b/>
          <w:sz w:val="32"/>
          <w:szCs w:val="32"/>
        </w:rPr>
      </w:pPr>
      <w:r>
        <w:rPr>
          <w:rFonts w:hint="eastAsia" w:ascii="仿宋" w:hAnsi="仿宋" w:eastAsia="仿宋" w:cs="黑体"/>
          <w:b/>
          <w:sz w:val="32"/>
          <w:szCs w:val="32"/>
        </w:rPr>
        <w:t>2022年高职单招联合测试院校成员名单</w:t>
      </w:r>
    </w:p>
    <w:tbl>
      <w:tblPr>
        <w:tblStyle w:val="8"/>
        <w:tblW w:w="5000" w:type="pct"/>
        <w:tblInd w:w="0" w:type="dxa"/>
        <w:tblLayout w:type="autofit"/>
        <w:tblCellMar>
          <w:top w:w="0" w:type="dxa"/>
          <w:left w:w="108" w:type="dxa"/>
          <w:bottom w:w="0" w:type="dxa"/>
          <w:right w:w="108" w:type="dxa"/>
        </w:tblCellMar>
      </w:tblPr>
      <w:tblGrid>
        <w:gridCol w:w="1116"/>
        <w:gridCol w:w="1392"/>
        <w:gridCol w:w="3096"/>
        <w:gridCol w:w="3456"/>
      </w:tblGrid>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nil"/>
              <w:right w:val="single" w:color="auto" w:sz="4"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序号</w:t>
            </w:r>
          </w:p>
        </w:tc>
        <w:tc>
          <w:tcPr>
            <w:tcW w:w="782" w:type="pct"/>
            <w:tcBorders>
              <w:top w:val="single" w:color="auto" w:sz="4" w:space="0"/>
              <w:left w:val="nil"/>
              <w:bottom w:val="nil"/>
              <w:right w:val="single" w:color="auto" w:sz="4"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院校代码</w:t>
            </w:r>
          </w:p>
        </w:tc>
        <w:tc>
          <w:tcPr>
            <w:tcW w:w="1676" w:type="pct"/>
            <w:tcBorders>
              <w:top w:val="single" w:color="auto" w:sz="4" w:space="0"/>
              <w:left w:val="nil"/>
              <w:bottom w:val="nil"/>
              <w:right w:val="single" w:color="auto" w:sz="4"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院校名称</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学校网址</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nil"/>
              <w:right w:val="single" w:color="auto" w:sz="4"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1</w:t>
            </w:r>
          </w:p>
        </w:tc>
        <w:tc>
          <w:tcPr>
            <w:tcW w:w="782" w:type="pct"/>
            <w:tcBorders>
              <w:top w:val="single" w:color="auto" w:sz="4" w:space="0"/>
              <w:left w:val="nil"/>
              <w:bottom w:val="nil"/>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12379</w:t>
            </w:r>
          </w:p>
        </w:tc>
        <w:tc>
          <w:tcPr>
            <w:tcW w:w="1676" w:type="pct"/>
            <w:tcBorders>
              <w:top w:val="single" w:color="auto" w:sz="4" w:space="0"/>
              <w:left w:val="nil"/>
              <w:bottom w:val="nil"/>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广西国际商务职业技术学院</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http://www.gxibvc.net</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olor w:val="000000"/>
                <w:sz w:val="24"/>
                <w:szCs w:val="24"/>
              </w:rPr>
              <w:t>2</w:t>
            </w:r>
          </w:p>
        </w:tc>
        <w:tc>
          <w:tcPr>
            <w:tcW w:w="782"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10867</w:t>
            </w:r>
          </w:p>
        </w:tc>
        <w:tc>
          <w:tcPr>
            <w:tcW w:w="1676"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广西机电职业技术学院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https://www.gxcme.edu.cn/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3</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11350</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广西体育高等专科学校</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http://www.gxtznn.com</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4</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11355</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南宁职业技术学院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https://www.nncvt.edu.cn/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5</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11608</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广西水利电力职业技术学院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http://www.gxsdxy.cn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6</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11773</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http://www.gxzjy.com</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7</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11824</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桂林师范高等专科学校</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http://www.glnc.edu.cn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8</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12104</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柳州职业技术学院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http://www.lzzy.net</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9</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12344</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广西生态工程职业技术学院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http://www.gxstzy.cn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10</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12356</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广西交通职业技术学院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http://www.gxjzy.com</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11</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12364</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广西工业职业技术学院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http://www.gxic.net</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12</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13828</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广西工商职业技术学院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http://www.gxgsxy.com</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13</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12392</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柳州铁道职业技术学院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http://www.ltzy.edu.cn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14</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13138</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广西建设职业技术学院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http://www.gxjsxy.cn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15</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13522</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广西现代职业技术学院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http://www.gxxd.net.cn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16</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13523</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北海职业学院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http://www.bhzyxy.net</w:t>
            </w:r>
          </w:p>
        </w:tc>
      </w:tr>
      <w:tr>
        <w:tblPrEx>
          <w:tblCellMar>
            <w:top w:w="0" w:type="dxa"/>
            <w:left w:w="108" w:type="dxa"/>
            <w:bottom w:w="0" w:type="dxa"/>
            <w:right w:w="108" w:type="dxa"/>
          </w:tblCellMar>
        </w:tblPrEx>
        <w:trPr>
          <w:trHeight w:val="547"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17</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13638</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广西农业职业技术大学</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FF0000"/>
                <w:kern w:val="0"/>
                <w:sz w:val="24"/>
                <w:szCs w:val="24"/>
              </w:rPr>
            </w:pPr>
            <w:r>
              <w:rPr>
                <w:rFonts w:ascii="仿宋" w:hAnsi="仿宋" w:eastAsia="仿宋" w:cs="宋体"/>
                <w:color w:val="000000"/>
                <w:kern w:val="0"/>
                <w:sz w:val="24"/>
                <w:szCs w:val="24"/>
              </w:rPr>
              <w:t>https://www.gxnzd.edu.cn/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18</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13827</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广西经贸职业技术学院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http://www.gxjmzy.com</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19</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13831</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广西电力职业技术学院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https://</w:t>
            </w:r>
            <w:r>
              <w:rPr>
                <w:rFonts w:ascii="仿宋" w:hAnsi="仿宋" w:eastAsia="仿宋" w:cs="宋体"/>
                <w:color w:val="000000"/>
                <w:kern w:val="0"/>
                <w:sz w:val="24"/>
                <w:szCs w:val="24"/>
              </w:rPr>
              <w:t xml:space="preserve"> www.gxdlxy.edu.cn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20</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14067</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柳州城市职业学院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http://www.lcvc.edu.cn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21</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14068</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百色职业学院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http://www.bszyxy.com</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序号</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院校代码</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院校名称</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学校网址</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22</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14171</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梧州职业学院</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http://www.wzzyedu.com</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23</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14220</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广西幼儿师范高等专科学校</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http://www.gxyesf.edu.cn</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24</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14313</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广西卫生职业技术学院</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http://www.gxwzy.com.cn</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25</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14512</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广西金融职业技术学院</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http://www.gxjrxy.com</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26</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14611</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广西安全工程职业技术学院</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http://www.gxazy.com</w:t>
            </w:r>
          </w:p>
        </w:tc>
      </w:tr>
      <w:tr>
        <w:tblPrEx>
          <w:tblCellMar>
            <w:top w:w="0" w:type="dxa"/>
            <w:left w:w="108" w:type="dxa"/>
            <w:bottom w:w="0" w:type="dxa"/>
            <w:right w:w="108" w:type="dxa"/>
          </w:tblCellMar>
        </w:tblPrEx>
        <w:trPr>
          <w:trHeight w:val="465" w:hRule="atLeast"/>
        </w:trPr>
        <w:tc>
          <w:tcPr>
            <w:tcW w:w="63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27</w:t>
            </w:r>
          </w:p>
        </w:tc>
        <w:tc>
          <w:tcPr>
            <w:tcW w:w="7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14668</w:t>
            </w:r>
          </w:p>
        </w:tc>
        <w:tc>
          <w:tcPr>
            <w:tcW w:w="16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广西自然资源职业技术学院</w:t>
            </w:r>
          </w:p>
        </w:tc>
        <w:tc>
          <w:tcPr>
            <w:tcW w:w="191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http://www.gxnrvt.cn/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28</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50869</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广西职业师范学院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http://www.jgy.gx.cn/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29</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14693</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钦州幼儿师范高等专科学校</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https://www.qzyz.edu.cn/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30</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14722</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广西制造工程职业技术学院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http://www.gxzzzy.cn/index/</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31</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14723</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广西物流职业技术学院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https://www.gxlvtc.com/</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32</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14762</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防城港职业技术学院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https://www.fcgzy.cn/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33</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14763</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广西信息职业技术学院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http://www.gxuie.cn/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34</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14764</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广西农业工程职业技术学院</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http://www.gxngy.cn/</w:t>
            </w:r>
          </w:p>
        </w:tc>
      </w:tr>
      <w:tr>
        <w:tblPrEx>
          <w:tblCellMar>
            <w:top w:w="0" w:type="dxa"/>
            <w:left w:w="108" w:type="dxa"/>
            <w:bottom w:w="0" w:type="dxa"/>
            <w:right w:w="108" w:type="dxa"/>
          </w:tblCellMar>
        </w:tblPrEx>
        <w:trPr>
          <w:trHeight w:val="465" w:hRule="atLeast"/>
        </w:trPr>
        <w:tc>
          <w:tcPr>
            <w:tcW w:w="630"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35</w:t>
            </w:r>
          </w:p>
        </w:tc>
        <w:tc>
          <w:tcPr>
            <w:tcW w:w="782"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51675</w:t>
            </w:r>
          </w:p>
        </w:tc>
        <w:tc>
          <w:tcPr>
            <w:tcW w:w="1676"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崇左幼儿师范高等专科学校</w:t>
            </w:r>
          </w:p>
        </w:tc>
        <w:tc>
          <w:tcPr>
            <w:tcW w:w="1911" w:type="pct"/>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http://www.nndqjyxy.cn/</w:t>
            </w:r>
          </w:p>
        </w:tc>
      </w:tr>
    </w:tbl>
    <w:p>
      <w:pPr>
        <w:spacing w:line="570" w:lineRule="exact"/>
        <w:jc w:val="center"/>
        <w:rPr>
          <w:rFonts w:ascii="仿宋" w:hAnsi="仿宋" w:eastAsia="仿宋"/>
          <w:sz w:val="32"/>
          <w:szCs w:val="32"/>
        </w:rPr>
      </w:pPr>
    </w:p>
    <w:p>
      <w:pPr>
        <w:spacing w:line="570" w:lineRule="exact"/>
        <w:rPr>
          <w:rFonts w:ascii="仿宋" w:hAnsi="仿宋" w:eastAsia="仿宋"/>
          <w:sz w:val="32"/>
          <w:szCs w:val="32"/>
        </w:rPr>
      </w:pPr>
    </w:p>
    <w:p>
      <w:pPr>
        <w:spacing w:line="570" w:lineRule="exact"/>
        <w:rPr>
          <w:rFonts w:ascii="仿宋" w:hAnsi="仿宋" w:eastAsia="仿宋"/>
          <w:sz w:val="32"/>
          <w:szCs w:val="32"/>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EE0D62"/>
    <w:multiLevelType w:val="singleLevel"/>
    <w:tmpl w:val="53EE0D6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20E87"/>
    <w:rsid w:val="00000052"/>
    <w:rsid w:val="000075F9"/>
    <w:rsid w:val="00012393"/>
    <w:rsid w:val="0001547B"/>
    <w:rsid w:val="00016B59"/>
    <w:rsid w:val="0001775F"/>
    <w:rsid w:val="00017881"/>
    <w:rsid w:val="00045F2A"/>
    <w:rsid w:val="000473D9"/>
    <w:rsid w:val="00053CE2"/>
    <w:rsid w:val="00055D72"/>
    <w:rsid w:val="000610CD"/>
    <w:rsid w:val="0007703F"/>
    <w:rsid w:val="000B3560"/>
    <w:rsid w:val="000C0CA5"/>
    <w:rsid w:val="000C4031"/>
    <w:rsid w:val="000C42FE"/>
    <w:rsid w:val="000C44AB"/>
    <w:rsid w:val="000C54C8"/>
    <w:rsid w:val="000C5C11"/>
    <w:rsid w:val="000F35E8"/>
    <w:rsid w:val="001042CB"/>
    <w:rsid w:val="00104E99"/>
    <w:rsid w:val="00107227"/>
    <w:rsid w:val="00114FFE"/>
    <w:rsid w:val="001166B3"/>
    <w:rsid w:val="001316C8"/>
    <w:rsid w:val="00132AF3"/>
    <w:rsid w:val="001435C1"/>
    <w:rsid w:val="001462E6"/>
    <w:rsid w:val="00162122"/>
    <w:rsid w:val="001642E4"/>
    <w:rsid w:val="00166D55"/>
    <w:rsid w:val="00174CC9"/>
    <w:rsid w:val="00177382"/>
    <w:rsid w:val="00186F1C"/>
    <w:rsid w:val="001920C4"/>
    <w:rsid w:val="001934F1"/>
    <w:rsid w:val="001971F8"/>
    <w:rsid w:val="001977CF"/>
    <w:rsid w:val="001A17B0"/>
    <w:rsid w:val="001A7363"/>
    <w:rsid w:val="001B0061"/>
    <w:rsid w:val="001B7127"/>
    <w:rsid w:val="001D012E"/>
    <w:rsid w:val="001D10BF"/>
    <w:rsid w:val="001D652E"/>
    <w:rsid w:val="001E11E2"/>
    <w:rsid w:val="001E13DE"/>
    <w:rsid w:val="001E21DB"/>
    <w:rsid w:val="001E3032"/>
    <w:rsid w:val="001F1B0B"/>
    <w:rsid w:val="001F410E"/>
    <w:rsid w:val="00215681"/>
    <w:rsid w:val="00231D98"/>
    <w:rsid w:val="0024407B"/>
    <w:rsid w:val="002500E5"/>
    <w:rsid w:val="00266060"/>
    <w:rsid w:val="00267BF0"/>
    <w:rsid w:val="002722DF"/>
    <w:rsid w:val="00280069"/>
    <w:rsid w:val="00291D81"/>
    <w:rsid w:val="002A0488"/>
    <w:rsid w:val="002B6DDF"/>
    <w:rsid w:val="002C18F9"/>
    <w:rsid w:val="002C40B4"/>
    <w:rsid w:val="002D7074"/>
    <w:rsid w:val="002E312F"/>
    <w:rsid w:val="002F2B97"/>
    <w:rsid w:val="002F534C"/>
    <w:rsid w:val="002F6B7A"/>
    <w:rsid w:val="00307B67"/>
    <w:rsid w:val="0031693B"/>
    <w:rsid w:val="00320783"/>
    <w:rsid w:val="00325DFF"/>
    <w:rsid w:val="003320F1"/>
    <w:rsid w:val="00335425"/>
    <w:rsid w:val="0034792E"/>
    <w:rsid w:val="003502ED"/>
    <w:rsid w:val="003503F7"/>
    <w:rsid w:val="00356A1F"/>
    <w:rsid w:val="00356AD5"/>
    <w:rsid w:val="00362CA3"/>
    <w:rsid w:val="003764FE"/>
    <w:rsid w:val="00384505"/>
    <w:rsid w:val="00385F6A"/>
    <w:rsid w:val="003879FA"/>
    <w:rsid w:val="00391775"/>
    <w:rsid w:val="00395903"/>
    <w:rsid w:val="003A51C3"/>
    <w:rsid w:val="003A5E69"/>
    <w:rsid w:val="003C3A27"/>
    <w:rsid w:val="003C54C0"/>
    <w:rsid w:val="003D1712"/>
    <w:rsid w:val="003D386A"/>
    <w:rsid w:val="003D3F67"/>
    <w:rsid w:val="003E145C"/>
    <w:rsid w:val="003E1C66"/>
    <w:rsid w:val="003F197C"/>
    <w:rsid w:val="00400901"/>
    <w:rsid w:val="004034C9"/>
    <w:rsid w:val="00404185"/>
    <w:rsid w:val="004435D9"/>
    <w:rsid w:val="00445F64"/>
    <w:rsid w:val="00461A83"/>
    <w:rsid w:val="004710F1"/>
    <w:rsid w:val="00485ECB"/>
    <w:rsid w:val="00492DB9"/>
    <w:rsid w:val="004938A9"/>
    <w:rsid w:val="004B161A"/>
    <w:rsid w:val="004B3EDD"/>
    <w:rsid w:val="004B60BB"/>
    <w:rsid w:val="004B683F"/>
    <w:rsid w:val="004C3BA0"/>
    <w:rsid w:val="004C4889"/>
    <w:rsid w:val="004C562D"/>
    <w:rsid w:val="004D1774"/>
    <w:rsid w:val="004D2201"/>
    <w:rsid w:val="004D47B8"/>
    <w:rsid w:val="004F3725"/>
    <w:rsid w:val="00502739"/>
    <w:rsid w:val="00504813"/>
    <w:rsid w:val="00505055"/>
    <w:rsid w:val="00511A82"/>
    <w:rsid w:val="00517258"/>
    <w:rsid w:val="00520C56"/>
    <w:rsid w:val="005414BD"/>
    <w:rsid w:val="00550F4D"/>
    <w:rsid w:val="00553074"/>
    <w:rsid w:val="00570808"/>
    <w:rsid w:val="00570F2D"/>
    <w:rsid w:val="005759D4"/>
    <w:rsid w:val="0058642A"/>
    <w:rsid w:val="00590618"/>
    <w:rsid w:val="005A0A35"/>
    <w:rsid w:val="005A6712"/>
    <w:rsid w:val="005B7F13"/>
    <w:rsid w:val="005C35B2"/>
    <w:rsid w:val="005C412D"/>
    <w:rsid w:val="005E088A"/>
    <w:rsid w:val="005E44B1"/>
    <w:rsid w:val="005F1C92"/>
    <w:rsid w:val="00603957"/>
    <w:rsid w:val="00610BD3"/>
    <w:rsid w:val="00616FFF"/>
    <w:rsid w:val="00622E18"/>
    <w:rsid w:val="00622F3F"/>
    <w:rsid w:val="00646432"/>
    <w:rsid w:val="006526B2"/>
    <w:rsid w:val="00652BF7"/>
    <w:rsid w:val="00660760"/>
    <w:rsid w:val="00692C33"/>
    <w:rsid w:val="006A66F1"/>
    <w:rsid w:val="006C11D5"/>
    <w:rsid w:val="006C6D6D"/>
    <w:rsid w:val="006E44BA"/>
    <w:rsid w:val="006F6FB6"/>
    <w:rsid w:val="00705204"/>
    <w:rsid w:val="00710AA0"/>
    <w:rsid w:val="00713FA7"/>
    <w:rsid w:val="007227A3"/>
    <w:rsid w:val="007413CB"/>
    <w:rsid w:val="00745B8F"/>
    <w:rsid w:val="00747DCB"/>
    <w:rsid w:val="00757184"/>
    <w:rsid w:val="00765252"/>
    <w:rsid w:val="0077648D"/>
    <w:rsid w:val="00776615"/>
    <w:rsid w:val="007925F1"/>
    <w:rsid w:val="00794DCD"/>
    <w:rsid w:val="007B05AF"/>
    <w:rsid w:val="007B0D3B"/>
    <w:rsid w:val="007C0967"/>
    <w:rsid w:val="007C6B2A"/>
    <w:rsid w:val="007D591B"/>
    <w:rsid w:val="007D6114"/>
    <w:rsid w:val="007D79B7"/>
    <w:rsid w:val="007E494D"/>
    <w:rsid w:val="007E57B2"/>
    <w:rsid w:val="007F43A7"/>
    <w:rsid w:val="007F5D4D"/>
    <w:rsid w:val="0080588B"/>
    <w:rsid w:val="00806B09"/>
    <w:rsid w:val="00816FB8"/>
    <w:rsid w:val="00820E87"/>
    <w:rsid w:val="00824D78"/>
    <w:rsid w:val="0082577D"/>
    <w:rsid w:val="00827FEE"/>
    <w:rsid w:val="00843867"/>
    <w:rsid w:val="0086450C"/>
    <w:rsid w:val="008657CE"/>
    <w:rsid w:val="00867E1B"/>
    <w:rsid w:val="00873B95"/>
    <w:rsid w:val="008822B9"/>
    <w:rsid w:val="008826E7"/>
    <w:rsid w:val="00896F99"/>
    <w:rsid w:val="008A3579"/>
    <w:rsid w:val="008A65F1"/>
    <w:rsid w:val="008A7744"/>
    <w:rsid w:val="008D064F"/>
    <w:rsid w:val="008D2494"/>
    <w:rsid w:val="008D3091"/>
    <w:rsid w:val="008E4D63"/>
    <w:rsid w:val="008F1CBF"/>
    <w:rsid w:val="008F6C4D"/>
    <w:rsid w:val="009006CF"/>
    <w:rsid w:val="00906216"/>
    <w:rsid w:val="00906A6B"/>
    <w:rsid w:val="00915ABB"/>
    <w:rsid w:val="00916C11"/>
    <w:rsid w:val="00926937"/>
    <w:rsid w:val="00944179"/>
    <w:rsid w:val="009456E3"/>
    <w:rsid w:val="0095589B"/>
    <w:rsid w:val="0096025A"/>
    <w:rsid w:val="00962835"/>
    <w:rsid w:val="00971D36"/>
    <w:rsid w:val="009730F6"/>
    <w:rsid w:val="009818B1"/>
    <w:rsid w:val="00983057"/>
    <w:rsid w:val="0098734A"/>
    <w:rsid w:val="009A0DA5"/>
    <w:rsid w:val="009A110D"/>
    <w:rsid w:val="009A27D0"/>
    <w:rsid w:val="009A28A3"/>
    <w:rsid w:val="009A46E4"/>
    <w:rsid w:val="009A5E1C"/>
    <w:rsid w:val="009B14DE"/>
    <w:rsid w:val="009C1E14"/>
    <w:rsid w:val="009C71B5"/>
    <w:rsid w:val="009F2C8F"/>
    <w:rsid w:val="009F5F5C"/>
    <w:rsid w:val="009F70DA"/>
    <w:rsid w:val="00A001B7"/>
    <w:rsid w:val="00A079DB"/>
    <w:rsid w:val="00A109D5"/>
    <w:rsid w:val="00A10AC5"/>
    <w:rsid w:val="00A10F9B"/>
    <w:rsid w:val="00A21F1A"/>
    <w:rsid w:val="00A24CC0"/>
    <w:rsid w:val="00A3082E"/>
    <w:rsid w:val="00A55C10"/>
    <w:rsid w:val="00A616C8"/>
    <w:rsid w:val="00A62949"/>
    <w:rsid w:val="00A63199"/>
    <w:rsid w:val="00A64112"/>
    <w:rsid w:val="00A81227"/>
    <w:rsid w:val="00A83D3B"/>
    <w:rsid w:val="00A84A99"/>
    <w:rsid w:val="00A9450F"/>
    <w:rsid w:val="00AA6407"/>
    <w:rsid w:val="00AB4289"/>
    <w:rsid w:val="00AC1311"/>
    <w:rsid w:val="00AD7089"/>
    <w:rsid w:val="00AE3E4D"/>
    <w:rsid w:val="00AF3544"/>
    <w:rsid w:val="00AF402C"/>
    <w:rsid w:val="00AF6BC8"/>
    <w:rsid w:val="00B00F16"/>
    <w:rsid w:val="00B07806"/>
    <w:rsid w:val="00B13777"/>
    <w:rsid w:val="00B14C6B"/>
    <w:rsid w:val="00B20C50"/>
    <w:rsid w:val="00B30BD0"/>
    <w:rsid w:val="00B336AC"/>
    <w:rsid w:val="00B50B0E"/>
    <w:rsid w:val="00B67CBE"/>
    <w:rsid w:val="00B67D84"/>
    <w:rsid w:val="00B90B57"/>
    <w:rsid w:val="00BA08DE"/>
    <w:rsid w:val="00BB6ABB"/>
    <w:rsid w:val="00BC1EBC"/>
    <w:rsid w:val="00BC34E9"/>
    <w:rsid w:val="00BC48C7"/>
    <w:rsid w:val="00BF26FB"/>
    <w:rsid w:val="00BF700B"/>
    <w:rsid w:val="00BF73C4"/>
    <w:rsid w:val="00C20110"/>
    <w:rsid w:val="00C20F45"/>
    <w:rsid w:val="00C30466"/>
    <w:rsid w:val="00C3481B"/>
    <w:rsid w:val="00C42134"/>
    <w:rsid w:val="00C51BDC"/>
    <w:rsid w:val="00C55912"/>
    <w:rsid w:val="00C55A1B"/>
    <w:rsid w:val="00C73B12"/>
    <w:rsid w:val="00C74C68"/>
    <w:rsid w:val="00C900DF"/>
    <w:rsid w:val="00C92FAE"/>
    <w:rsid w:val="00CD146C"/>
    <w:rsid w:val="00CE470D"/>
    <w:rsid w:val="00CF20C5"/>
    <w:rsid w:val="00CF2FC3"/>
    <w:rsid w:val="00D05078"/>
    <w:rsid w:val="00D05E62"/>
    <w:rsid w:val="00D061FB"/>
    <w:rsid w:val="00D148A5"/>
    <w:rsid w:val="00D26B86"/>
    <w:rsid w:val="00D27625"/>
    <w:rsid w:val="00D3273E"/>
    <w:rsid w:val="00D434C7"/>
    <w:rsid w:val="00D8138C"/>
    <w:rsid w:val="00D90FD3"/>
    <w:rsid w:val="00D937A8"/>
    <w:rsid w:val="00D97535"/>
    <w:rsid w:val="00DB19DC"/>
    <w:rsid w:val="00DD2CCD"/>
    <w:rsid w:val="00DF4E9D"/>
    <w:rsid w:val="00E208AF"/>
    <w:rsid w:val="00E25D40"/>
    <w:rsid w:val="00E34C7A"/>
    <w:rsid w:val="00E37623"/>
    <w:rsid w:val="00E5660F"/>
    <w:rsid w:val="00E71A73"/>
    <w:rsid w:val="00E7477A"/>
    <w:rsid w:val="00E755AF"/>
    <w:rsid w:val="00E813D7"/>
    <w:rsid w:val="00E84728"/>
    <w:rsid w:val="00E976C1"/>
    <w:rsid w:val="00EA4F8E"/>
    <w:rsid w:val="00EA524F"/>
    <w:rsid w:val="00EA67F4"/>
    <w:rsid w:val="00EB3C93"/>
    <w:rsid w:val="00EB73A0"/>
    <w:rsid w:val="00EC2079"/>
    <w:rsid w:val="00EC2E5C"/>
    <w:rsid w:val="00ED3DFA"/>
    <w:rsid w:val="00ED5481"/>
    <w:rsid w:val="00EE1570"/>
    <w:rsid w:val="00EE58CE"/>
    <w:rsid w:val="00EE70C0"/>
    <w:rsid w:val="00EF34CF"/>
    <w:rsid w:val="00F1204E"/>
    <w:rsid w:val="00F15DCC"/>
    <w:rsid w:val="00F3310E"/>
    <w:rsid w:val="00F34DAA"/>
    <w:rsid w:val="00F40768"/>
    <w:rsid w:val="00F436D6"/>
    <w:rsid w:val="00F444C2"/>
    <w:rsid w:val="00F451AB"/>
    <w:rsid w:val="00F55C83"/>
    <w:rsid w:val="00F57038"/>
    <w:rsid w:val="00F64805"/>
    <w:rsid w:val="00F661BE"/>
    <w:rsid w:val="00F80406"/>
    <w:rsid w:val="00F8097A"/>
    <w:rsid w:val="00F8325A"/>
    <w:rsid w:val="00F946A0"/>
    <w:rsid w:val="00F97034"/>
    <w:rsid w:val="00FC238A"/>
    <w:rsid w:val="00FC557C"/>
    <w:rsid w:val="00FD2431"/>
    <w:rsid w:val="00FD290C"/>
    <w:rsid w:val="00FD6586"/>
    <w:rsid w:val="00FE5A4A"/>
    <w:rsid w:val="01242819"/>
    <w:rsid w:val="019D41A9"/>
    <w:rsid w:val="04F419D9"/>
    <w:rsid w:val="089632B2"/>
    <w:rsid w:val="098F5D21"/>
    <w:rsid w:val="0DC91924"/>
    <w:rsid w:val="1675224E"/>
    <w:rsid w:val="176F7063"/>
    <w:rsid w:val="1CBA0FBF"/>
    <w:rsid w:val="1E3338F0"/>
    <w:rsid w:val="20C718F8"/>
    <w:rsid w:val="294471DF"/>
    <w:rsid w:val="29B8131E"/>
    <w:rsid w:val="32FE6431"/>
    <w:rsid w:val="340F570B"/>
    <w:rsid w:val="36295926"/>
    <w:rsid w:val="3882677A"/>
    <w:rsid w:val="3B700AEF"/>
    <w:rsid w:val="427836DA"/>
    <w:rsid w:val="47692E43"/>
    <w:rsid w:val="49EE54B8"/>
    <w:rsid w:val="4D013C90"/>
    <w:rsid w:val="4D4D7BF7"/>
    <w:rsid w:val="569134F9"/>
    <w:rsid w:val="57B16E48"/>
    <w:rsid w:val="5DF04109"/>
    <w:rsid w:val="603969EB"/>
    <w:rsid w:val="63832D1C"/>
    <w:rsid w:val="74CB28DA"/>
    <w:rsid w:val="75F20F20"/>
    <w:rsid w:val="7AB90E53"/>
    <w:rsid w:val="7AC911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unhideWhenUsed/>
    <w:qFormat/>
    <w:uiPriority w:val="99"/>
    <w:pPr>
      <w:shd w:val="clear" w:color="auto" w:fill="FFFFFF"/>
      <w:spacing w:before="540" w:line="566" w:lineRule="exact"/>
      <w:jc w:val="left"/>
    </w:pPr>
    <w:rPr>
      <w:rFonts w:ascii="MingLiU" w:eastAsia="MingLiU" w:cs="MingLiU"/>
      <w:i/>
      <w:iCs/>
      <w:spacing w:val="-20"/>
      <w:sz w:val="33"/>
      <w:szCs w:val="33"/>
      <w:u w:val="single"/>
    </w:rPr>
  </w:style>
  <w:style w:type="paragraph" w:styleId="3">
    <w:name w:val="Date"/>
    <w:basedOn w:val="1"/>
    <w:next w:val="1"/>
    <w:link w:val="14"/>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qFormat/>
    <w:uiPriority w:val="0"/>
    <w:rPr>
      <w:color w:val="0000FF"/>
      <w:u w:val="single"/>
    </w:rPr>
  </w:style>
  <w:style w:type="character" w:customStyle="1" w:styleId="12">
    <w:name w:val="页眉 Char"/>
    <w:basedOn w:val="9"/>
    <w:link w:val="6"/>
    <w:qFormat/>
    <w:uiPriority w:val="99"/>
    <w:rPr>
      <w:sz w:val="18"/>
      <w:szCs w:val="18"/>
    </w:rPr>
  </w:style>
  <w:style w:type="character" w:customStyle="1" w:styleId="13">
    <w:name w:val="页脚 Char"/>
    <w:basedOn w:val="9"/>
    <w:link w:val="5"/>
    <w:qFormat/>
    <w:uiPriority w:val="99"/>
    <w:rPr>
      <w:sz w:val="18"/>
      <w:szCs w:val="18"/>
    </w:rPr>
  </w:style>
  <w:style w:type="character" w:customStyle="1" w:styleId="14">
    <w:name w:val="日期 Char"/>
    <w:basedOn w:val="9"/>
    <w:link w:val="3"/>
    <w:semiHidden/>
    <w:qFormat/>
    <w:uiPriority w:val="99"/>
  </w:style>
  <w:style w:type="paragraph" w:styleId="15">
    <w:name w:val="List Paragraph"/>
    <w:basedOn w:val="1"/>
    <w:qFormat/>
    <w:uiPriority w:val="34"/>
    <w:pPr>
      <w:ind w:firstLine="420" w:firstLineChars="200"/>
    </w:pPr>
  </w:style>
  <w:style w:type="character" w:customStyle="1" w:styleId="16">
    <w:name w:val="批注框文本 Char"/>
    <w:basedOn w:val="9"/>
    <w:link w:val="4"/>
    <w:semiHidden/>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8">
    <w:name w:val="font11"/>
    <w:basedOn w:val="9"/>
    <w:qFormat/>
    <w:uiPriority w:val="0"/>
    <w:rPr>
      <w:rFonts w:hint="default" w:ascii="Calibri" w:hAnsi="Calibri"/>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86FB0A-2024-4444-B6B4-53480AEC05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1139</Words>
  <Characters>6493</Characters>
  <Lines>54</Lines>
  <Paragraphs>15</Paragraphs>
  <TotalTime>50</TotalTime>
  <ScaleCrop>false</ScaleCrop>
  <LinksUpToDate>false</LinksUpToDate>
  <CharactersWithSpaces>7617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2019-12-18T01:48:00Z</dcterms:created>
  <dc:creator>cjg</dc:creator>
  <cp:lastModifiedBy>A容亚宝 18102702531</cp:lastModifiedBy>
  <cp:lastPrinted>2022-03-09T01:46:00Z</cp:lastPrinted>
  <dcterms:modified xsi:type="dcterms:W3CDTF">2022-03-11T02:24:01Z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5CCBAC728A03450FAE733DFC6FB93A6F</vt:lpwstr>
  </property>
</Properties>
</file>